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lang w:val="en-US"/>
        </w:rPr>
      </w:pPr>
    </w:p>
    <w:p>
      <w:pPr>
        <w:pStyle w:val="4"/>
        <w:rPr>
          <w:rFonts w:ascii="Times New Roman"/>
          <w:sz w:val="20"/>
          <w:lang w:val="en-US"/>
        </w:rPr>
      </w:pPr>
    </w:p>
    <w:p>
      <w:pPr>
        <w:pStyle w:val="4"/>
        <w:rPr>
          <w:rFonts w:ascii="Times New Roman"/>
          <w:sz w:val="20"/>
        </w:rPr>
      </w:pPr>
    </w:p>
    <w:p>
      <w:pPr>
        <w:pStyle w:val="4"/>
        <w:rPr>
          <w:rFonts w:ascii="Times New Roman"/>
          <w:sz w:val="20"/>
          <w:lang w:val="en-US"/>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tabs>
          <w:tab w:val="left" w:pos="4680"/>
        </w:tabs>
        <w:autoSpaceDE/>
        <w:autoSpaceDN/>
        <w:spacing w:line="800" w:lineRule="exact"/>
        <w:jc w:val="center"/>
        <w:rPr>
          <w:rFonts w:ascii="方正小标宋简体" w:hAnsi="黑体" w:eastAsia="方正小标宋简体" w:cs="黑体"/>
          <w:sz w:val="44"/>
          <w:szCs w:val="44"/>
        </w:rPr>
      </w:pPr>
    </w:p>
    <w:p>
      <w:pPr>
        <w:pStyle w:val="4"/>
        <w:ind w:firstLine="840" w:firstLineChars="100"/>
        <w:rPr>
          <w:rFonts w:ascii="黑体" w:hAnsi="黑体" w:eastAsia="黑体" w:cs="黑体"/>
          <w:sz w:val="84"/>
          <w:szCs w:val="84"/>
          <w:lang w:val="en-US"/>
        </w:rPr>
      </w:pPr>
    </w:p>
    <w:p>
      <w:pPr>
        <w:tabs>
          <w:tab w:val="left" w:pos="4680"/>
        </w:tabs>
        <w:autoSpaceDE/>
        <w:autoSpaceDN/>
        <w:spacing w:line="800" w:lineRule="exact"/>
        <w:jc w:val="center"/>
        <w:rPr>
          <w:rFonts w:ascii="黑体" w:hAnsi="黑体" w:eastAsia="黑体" w:cs="黑体"/>
          <w:sz w:val="84"/>
          <w:szCs w:val="84"/>
          <w:lang w:val="en-US"/>
        </w:rPr>
      </w:pPr>
      <w:r>
        <w:rPr>
          <w:rFonts w:hint="eastAsia" w:ascii="黑体" w:hAnsi="黑体" w:eastAsia="黑体" w:cs="黑体"/>
          <w:sz w:val="84"/>
          <w:szCs w:val="84"/>
          <w:lang w:val="en-US"/>
        </w:rPr>
        <w:t>健康照护师</w:t>
      </w:r>
    </w:p>
    <w:p>
      <w:pPr>
        <w:tabs>
          <w:tab w:val="left" w:pos="4680"/>
        </w:tabs>
        <w:autoSpaceDE/>
        <w:autoSpaceDN/>
        <w:spacing w:line="800" w:lineRule="exact"/>
        <w:jc w:val="center"/>
        <w:rPr>
          <w:rFonts w:ascii="黑体" w:hAnsi="黑体" w:eastAsia="黑体" w:cs="黑体"/>
          <w:sz w:val="84"/>
          <w:szCs w:val="84"/>
          <w:lang w:val="en-US"/>
        </w:rPr>
      </w:pPr>
    </w:p>
    <w:p>
      <w:pPr>
        <w:tabs>
          <w:tab w:val="left" w:pos="4680"/>
        </w:tabs>
        <w:autoSpaceDE/>
        <w:autoSpaceDN/>
        <w:spacing w:line="800" w:lineRule="exact"/>
        <w:jc w:val="center"/>
        <w:rPr>
          <w:rFonts w:ascii="方正小标宋简体" w:hAnsi="黑体" w:eastAsia="方正小标宋简体" w:cs="黑体"/>
          <w:sz w:val="44"/>
          <w:szCs w:val="44"/>
        </w:rPr>
      </w:pPr>
      <w:r>
        <w:rPr>
          <w:rFonts w:hint="eastAsia" w:ascii="黑体" w:hAnsi="黑体" w:eastAsia="黑体" w:cs="黑体"/>
          <w:sz w:val="84"/>
          <w:szCs w:val="84"/>
          <w:lang w:val="en-US"/>
        </w:rPr>
        <w:t>技能竞赛技术文件</w:t>
      </w:r>
    </w:p>
    <w:p>
      <w:pPr>
        <w:pStyle w:val="4"/>
        <w:jc w:val="center"/>
        <w:rPr>
          <w:rFonts w:ascii="Microsoft JhengHei"/>
          <w:b/>
          <w:sz w:val="48"/>
        </w:rPr>
      </w:pPr>
    </w:p>
    <w:p>
      <w:pPr>
        <w:pStyle w:val="4"/>
        <w:rPr>
          <w:rFonts w:ascii="Microsoft JhengHei"/>
          <w:b/>
          <w:sz w:val="48"/>
        </w:rPr>
      </w:pPr>
    </w:p>
    <w:p>
      <w:pPr>
        <w:pStyle w:val="4"/>
        <w:rPr>
          <w:rFonts w:ascii="Microsoft JhengHei"/>
          <w:b/>
          <w:sz w:val="48"/>
        </w:rPr>
      </w:pPr>
    </w:p>
    <w:p>
      <w:pPr>
        <w:pStyle w:val="4"/>
        <w:rPr>
          <w:rFonts w:ascii="Microsoft JhengHei"/>
          <w:b/>
          <w:sz w:val="48"/>
        </w:rPr>
      </w:pPr>
    </w:p>
    <w:p>
      <w:pPr>
        <w:ind w:left="995" w:right="1750"/>
        <w:jc w:val="center"/>
        <w:rPr>
          <w:rFonts w:ascii="宋体" w:eastAsia="宋体"/>
          <w:sz w:val="36"/>
        </w:rPr>
      </w:pPr>
    </w:p>
    <w:p>
      <w:pPr>
        <w:rPr>
          <w:rFonts w:ascii="宋体" w:eastAsia="宋体"/>
          <w:sz w:val="36"/>
        </w:rPr>
        <w:sectPr>
          <w:footerReference r:id="rId3" w:type="default"/>
          <w:type w:val="continuous"/>
          <w:pgSz w:w="11910" w:h="16840"/>
          <w:pgMar w:top="1580" w:right="920" w:bottom="1320" w:left="1680" w:header="720" w:footer="1121" w:gutter="0"/>
          <w:pgNumType w:start="1"/>
          <w:cols w:space="720" w:num="1"/>
        </w:sectPr>
      </w:pPr>
    </w:p>
    <w:p>
      <w:pPr>
        <w:pStyle w:val="4"/>
        <w:keepNext w:val="0"/>
        <w:keepLines w:val="0"/>
        <w:pageBreakBefore w:val="0"/>
        <w:kinsoku/>
        <w:wordWrap/>
        <w:overflowPunct/>
        <w:topLinePunct w:val="0"/>
        <w:bidi w:val="0"/>
        <w:adjustRightInd/>
        <w:snapToGrid/>
        <w:spacing w:before="44" w:line="560" w:lineRule="exact"/>
        <w:ind w:right="874"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本项目技术工作文件（技术描述）是对本竞赛项目内容的框架性描述，正式比赛内容及要求以竞赛最终使用的赛题为准。</w:t>
      </w:r>
    </w:p>
    <w:p>
      <w:pPr>
        <w:pStyle w:val="2"/>
        <w:keepNext w:val="0"/>
        <w:keepLines w:val="0"/>
        <w:pageBreakBefore w:val="0"/>
        <w:kinsoku/>
        <w:wordWrap/>
        <w:overflowPunct/>
        <w:topLinePunct w:val="0"/>
        <w:bidi w:val="0"/>
        <w:adjustRightInd/>
        <w:snapToGrid/>
        <w:spacing w:line="560" w:lineRule="exact"/>
        <w:ind w:left="507" w:leftChars="229" w:hanging="3" w:hangingChars="1"/>
        <w:jc w:val="both"/>
        <w:textAlignment w:val="auto"/>
        <w:rPr>
          <w:rFonts w:hint="eastAsia" w:ascii="黑体" w:hAnsi="黑体" w:eastAsia="黑体" w:cs="黑体"/>
          <w:sz w:val="32"/>
          <w:szCs w:val="32"/>
        </w:rPr>
      </w:pPr>
      <w:bookmarkStart w:id="0" w:name="_Toc47689158"/>
      <w:r>
        <w:rPr>
          <w:rFonts w:hint="eastAsia" w:ascii="黑体" w:hAnsi="黑体" w:eastAsia="黑体" w:cs="黑体"/>
          <w:b w:val="0"/>
          <w:bCs w:val="0"/>
          <w:sz w:val="32"/>
          <w:szCs w:val="32"/>
        </w:rPr>
        <w:t>1.项目简介</w:t>
      </w:r>
      <w:bookmarkEnd w:id="0"/>
    </w:p>
    <w:p>
      <w:pPr>
        <w:pStyle w:val="3"/>
        <w:keepNext w:val="0"/>
        <w:keepLines w:val="0"/>
        <w:pageBreakBefore w:val="0"/>
        <w:kinsoku/>
        <w:wordWrap/>
        <w:overflowPunct/>
        <w:topLinePunct w:val="0"/>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sz w:val="32"/>
          <w:szCs w:val="32"/>
        </w:rPr>
      </w:pPr>
      <w:bookmarkStart w:id="1" w:name="_Toc47689159"/>
      <w:r>
        <w:rPr>
          <w:rFonts w:hint="eastAsia" w:ascii="楷体_GB2312" w:hAnsi="楷体_GB2312" w:eastAsia="楷体_GB2312" w:cs="楷体_GB2312"/>
          <w:b/>
          <w:bCs w:val="0"/>
          <w:sz w:val="32"/>
          <w:szCs w:val="32"/>
        </w:rPr>
        <w:t>1.1项目描述</w:t>
      </w:r>
      <w:bookmarkEnd w:id="1"/>
    </w:p>
    <w:p>
      <w:pPr>
        <w:keepNext w:val="0"/>
        <w:keepLines w:val="0"/>
        <w:pageBreakBefore w:val="0"/>
        <w:tabs>
          <w:tab w:val="left" w:pos="752"/>
        </w:tabs>
        <w:kinsoku/>
        <w:wordWrap/>
        <w:overflowPunct/>
        <w:topLinePunct w:val="0"/>
        <w:bidi w:val="0"/>
        <w:adjustRightInd/>
        <w:snapToGrid/>
        <w:spacing w:before="59" w:line="560" w:lineRule="exact"/>
        <w:ind w:firstLine="635" w:firstLineChars="200"/>
        <w:jc w:val="both"/>
        <w:textAlignment w:val="auto"/>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1.1.1项目名称</w:t>
      </w:r>
    </w:p>
    <w:p>
      <w:pPr>
        <w:keepNext w:val="0"/>
        <w:keepLines w:val="0"/>
        <w:pageBreakBefore w:val="0"/>
        <w:tabs>
          <w:tab w:val="left" w:pos="752"/>
        </w:tabs>
        <w:kinsoku/>
        <w:wordWrap/>
        <w:overflowPunct/>
        <w:topLinePunct w:val="0"/>
        <w:bidi w:val="0"/>
        <w:adjustRightInd/>
        <w:snapToGrid/>
        <w:spacing w:line="560" w:lineRule="exact"/>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健康照护师技能竞赛</w:t>
      </w:r>
    </w:p>
    <w:p>
      <w:pPr>
        <w:keepNext w:val="0"/>
        <w:keepLines w:val="0"/>
        <w:pageBreakBefore w:val="0"/>
        <w:tabs>
          <w:tab w:val="left" w:pos="752"/>
        </w:tabs>
        <w:kinsoku/>
        <w:wordWrap/>
        <w:overflowPunct/>
        <w:topLinePunct w:val="0"/>
        <w:bidi w:val="0"/>
        <w:adjustRightInd/>
        <w:snapToGrid/>
        <w:spacing w:line="560" w:lineRule="exact"/>
        <w:ind w:firstLine="635" w:firstLineChars="200"/>
        <w:jc w:val="both"/>
        <w:textAlignment w:val="auto"/>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1.1.2参考标准</w:t>
      </w:r>
    </w:p>
    <w:p>
      <w:pPr>
        <w:keepNext w:val="0"/>
        <w:keepLines w:val="0"/>
        <w:pageBreakBefore w:val="0"/>
        <w:tabs>
          <w:tab w:val="left" w:pos="752"/>
        </w:tabs>
        <w:kinsoku/>
        <w:wordWrap/>
        <w:overflowPunct/>
        <w:topLinePunct w:val="0"/>
        <w:bidi w:val="0"/>
        <w:adjustRightInd/>
        <w:snapToGrid/>
        <w:spacing w:line="560" w:lineRule="exact"/>
        <w:ind w:firstLine="632" w:firstLineChars="200"/>
        <w:jc w:val="both"/>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《健康照护师国家职业标准》三级以上技能要求。</w:t>
      </w:r>
    </w:p>
    <w:p>
      <w:pPr>
        <w:keepNext w:val="0"/>
        <w:keepLines w:val="0"/>
        <w:pageBreakBefore w:val="0"/>
        <w:tabs>
          <w:tab w:val="left" w:pos="752"/>
        </w:tabs>
        <w:kinsoku/>
        <w:wordWrap/>
        <w:overflowPunct/>
        <w:topLinePunct w:val="0"/>
        <w:bidi w:val="0"/>
        <w:adjustRightInd/>
        <w:snapToGrid/>
        <w:spacing w:line="560" w:lineRule="exact"/>
        <w:ind w:firstLine="635" w:firstLineChars="200"/>
        <w:jc w:val="both"/>
        <w:textAlignment w:val="auto"/>
        <w:rPr>
          <w:rFonts w:hint="eastAsia" w:ascii="仿宋_GB2312" w:hAnsi="仿宋_GB2312" w:eastAsia="仿宋_GB2312" w:cs="仿宋_GB2312"/>
          <w:b/>
          <w:bCs/>
          <w:spacing w:val="-2"/>
          <w:sz w:val="32"/>
          <w:szCs w:val="32"/>
        </w:rPr>
      </w:pPr>
      <w:r>
        <w:rPr>
          <w:rFonts w:hint="eastAsia" w:ascii="仿宋_GB2312" w:hAnsi="仿宋_GB2312" w:eastAsia="仿宋_GB2312" w:cs="仿宋_GB2312"/>
          <w:b/>
          <w:bCs/>
          <w:spacing w:val="-2"/>
          <w:sz w:val="32"/>
          <w:szCs w:val="32"/>
        </w:rPr>
        <w:t>1.1.3职业描述</w:t>
      </w:r>
    </w:p>
    <w:p>
      <w:pPr>
        <w:pStyle w:val="4"/>
        <w:keepNext w:val="0"/>
        <w:keepLines w:val="0"/>
        <w:pageBreakBefore w:val="0"/>
        <w:kinsoku/>
        <w:wordWrap/>
        <w:overflowPunct/>
        <w:topLinePunct w:val="0"/>
        <w:bidi w:val="0"/>
        <w:adjustRightInd/>
        <w:snapToGrid/>
        <w:spacing w:line="560" w:lineRule="exact"/>
        <w:ind w:right="871" w:firstLine="60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健康照护师是运用医学护理/照护的基础知识与技能，在家庭、医院、社区、长期照护中心等场所，为照护对象提供健康照护及生活照料的人员。2020年3月，健康照护师职业作为国家16个新增职业之一正式发布，他</w:t>
      </w:r>
      <w:r>
        <w:rPr>
          <w:rFonts w:hint="eastAsia" w:ascii="仿宋_GB2312" w:hAnsi="仿宋_GB2312" w:eastAsia="仿宋_GB2312" w:cs="仿宋_GB2312"/>
          <w:spacing w:val="-11"/>
          <w:sz w:val="32"/>
          <w:szCs w:val="32"/>
        </w:rPr>
        <w:t>们通过评估、计划、实施和效果评价等照护程序，以大量科学的临床实证为指南，采取各项有效措施，确保人们的生理和</w:t>
      </w:r>
      <w:r>
        <w:rPr>
          <w:rFonts w:hint="eastAsia" w:ascii="仿宋_GB2312" w:hAnsi="仿宋_GB2312" w:eastAsia="仿宋_GB2312" w:cs="仿宋_GB2312"/>
          <w:spacing w:val="-12"/>
          <w:sz w:val="32"/>
          <w:szCs w:val="32"/>
        </w:rPr>
        <w:t>心理健康，促进疾病康复，改善照护对象的生活质量。为此，从业者必须接受专业的培训学习，通过理论学习和实践操作，掌握照护的专业知识和技能。健康照护师的服务对象是“人”，从业者不仅需要提升组织管理能力、沟通和人际交往能力、解决问题等能</w:t>
      </w:r>
      <w:r>
        <w:rPr>
          <w:rFonts w:hint="eastAsia" w:ascii="仿宋_GB2312" w:hAnsi="仿宋_GB2312" w:eastAsia="仿宋_GB2312" w:cs="仿宋_GB2312"/>
          <w:spacing w:val="-6"/>
          <w:sz w:val="32"/>
          <w:szCs w:val="32"/>
        </w:rPr>
        <w:t>力，还需要</w:t>
      </w:r>
      <w:r>
        <w:rPr>
          <w:rFonts w:hint="eastAsia" w:ascii="仿宋_GB2312" w:hAnsi="仿宋_GB2312" w:eastAsia="仿宋_GB2312" w:cs="仿宋_GB2312"/>
          <w:spacing w:val="-10"/>
          <w:sz w:val="32"/>
          <w:szCs w:val="32"/>
        </w:rPr>
        <w:t>具备灵活性、创新性，以及用同理心去理解和激励他人的能力等。</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楷体_GB2312" w:hAnsi="楷体_GB2312" w:eastAsia="楷体_GB2312" w:cs="楷体_GB2312"/>
          <w:b/>
          <w:bCs/>
          <w:sz w:val="32"/>
          <w:szCs w:val="32"/>
        </w:rPr>
      </w:pPr>
      <w:bookmarkStart w:id="2" w:name="_Toc47689160"/>
      <w:r>
        <w:rPr>
          <w:rFonts w:hint="eastAsia" w:ascii="楷体_GB2312" w:hAnsi="楷体_GB2312" w:eastAsia="楷体_GB2312" w:cs="楷体_GB2312"/>
          <w:b/>
          <w:bCs/>
          <w:sz w:val="32"/>
          <w:szCs w:val="32"/>
        </w:rPr>
        <w:t>1.2竞赛目的</w:t>
      </w:r>
      <w:bookmarkEnd w:id="2"/>
    </w:p>
    <w:p>
      <w:pPr>
        <w:pStyle w:val="4"/>
        <w:keepNext w:val="0"/>
        <w:keepLines w:val="0"/>
        <w:pageBreakBefore w:val="0"/>
        <w:kinsoku/>
        <w:wordWrap/>
        <w:overflowPunct/>
        <w:topLinePunct w:val="0"/>
        <w:bidi w:val="0"/>
        <w:adjustRightInd/>
        <w:snapToGrid/>
        <w:spacing w:before="60" w:line="560" w:lineRule="exact"/>
        <w:ind w:right="765"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本次比赛以世界技能大赛为引领，参考世界技能大赛“健康和社会照护”赛项的竞赛模式和相关技术标准，</w:t>
      </w:r>
      <w:r>
        <w:rPr>
          <w:rFonts w:hint="eastAsia" w:ascii="仿宋_GB2312" w:hAnsi="仿宋_GB2312" w:eastAsia="仿宋_GB2312" w:cs="仿宋_GB2312"/>
          <w:spacing w:val="-11"/>
          <w:sz w:val="32"/>
          <w:szCs w:val="32"/>
        </w:rPr>
        <w:t>结合我国国情及我省产业转型升级和加快新旧动能转换需要的实际情况，并遵循公平、公正的比赛原则。其目的是为了综合考核选手基本功及各项关键技能，</w:t>
      </w:r>
      <w:r>
        <w:rPr>
          <w:rFonts w:hint="eastAsia" w:ascii="仿宋_GB2312" w:hAnsi="仿宋_GB2312" w:eastAsia="仿宋_GB2312" w:cs="仿宋_GB2312"/>
          <w:spacing w:val="-6"/>
          <w:sz w:val="32"/>
          <w:szCs w:val="32"/>
        </w:rPr>
        <w:t xml:space="preserve">培养优秀的技能型人才，为我国健康照护产业的发展培养人才。 </w:t>
      </w:r>
    </w:p>
    <w:p>
      <w:pPr>
        <w:pStyle w:val="4"/>
        <w:keepNext w:val="0"/>
        <w:keepLines w:val="0"/>
        <w:pageBreakBefore w:val="0"/>
        <w:kinsoku/>
        <w:wordWrap/>
        <w:overflowPunct/>
        <w:topLinePunct w:val="0"/>
        <w:bidi w:val="0"/>
        <w:adjustRightInd/>
        <w:snapToGrid/>
        <w:spacing w:before="60" w:line="560" w:lineRule="exact"/>
        <w:ind w:right="765"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1.3竞赛内容</w:t>
      </w:r>
    </w:p>
    <w:p>
      <w:pPr>
        <w:pStyle w:val="4"/>
        <w:keepNext w:val="0"/>
        <w:keepLines w:val="0"/>
        <w:pageBreakBefore w:val="0"/>
        <w:kinsoku/>
        <w:wordWrap/>
        <w:overflowPunct/>
        <w:topLinePunct w:val="0"/>
        <w:bidi w:val="0"/>
        <w:adjustRightInd/>
        <w:snapToGrid/>
        <w:spacing w:before="60" w:line="560" w:lineRule="exact"/>
        <w:ind w:right="765" w:firstLine="596"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健康照护师赛项是指参赛者在不同场景，包括医院、家庭、长期照护中心、日间照护中心等，直接为有照护需求的人群提供专业支持。技能竞赛内容包括医院照护模块、家庭照护模块、日间照护模块、长期照护模块。选手根据给出的 “案例描述”和任务要求书写照护计划、在“标准化病人”配合下完成规定的照护实践以及相应的“文字表达任务”。“照护实践”重点考核选手的动手能力和沟通/交流能力/解决冲突或处理应急事件的能力/针对疾病或生活方式的健康教育等， “文字表达任务”通过实践前的计划、实践后的记录等体现出选手文字表达能力。</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楷体_GB2312" w:hAnsi="楷体_GB2312" w:eastAsia="楷体_GB2312" w:cs="楷体_GB2312"/>
          <w:b/>
          <w:bCs/>
          <w:sz w:val="32"/>
          <w:szCs w:val="32"/>
        </w:rPr>
      </w:pPr>
      <w:bookmarkStart w:id="3" w:name="_Toc47689161"/>
      <w:r>
        <w:rPr>
          <w:rFonts w:hint="eastAsia" w:ascii="楷体_GB2312" w:hAnsi="楷体_GB2312" w:eastAsia="楷体_GB2312" w:cs="楷体_GB2312"/>
          <w:b/>
          <w:bCs/>
          <w:sz w:val="32"/>
          <w:szCs w:val="32"/>
        </w:rPr>
        <w:t>1.4相关文件</w:t>
      </w:r>
      <w:bookmarkEnd w:id="3"/>
    </w:p>
    <w:p>
      <w:pPr>
        <w:pStyle w:val="4"/>
        <w:keepNext w:val="0"/>
        <w:keepLines w:val="0"/>
        <w:pageBreakBefore w:val="0"/>
        <w:kinsoku/>
        <w:wordWrap/>
        <w:overflowPunct/>
        <w:topLinePunct w:val="0"/>
        <w:bidi w:val="0"/>
        <w:adjustRightInd/>
        <w:snapToGrid/>
        <w:spacing w:before="59" w:line="560" w:lineRule="exact"/>
        <w:ind w:right="872"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技术工作文件只包含项目技术工作的相关信息。除阅读本文件外，开展本技能项目竞赛还需配合其他相关文件一同使用，如健康照护专业领域中相关的法律法规、最新标准和常规，以实证为基础的实践指南和最佳证据等。</w:t>
      </w:r>
    </w:p>
    <w:p>
      <w:pPr>
        <w:pStyle w:val="2"/>
        <w:keepNext w:val="0"/>
        <w:keepLines w:val="0"/>
        <w:pageBreakBefore w:val="0"/>
        <w:kinsoku/>
        <w:wordWrap/>
        <w:overflowPunct/>
        <w:topLinePunct w:val="0"/>
        <w:bidi w:val="0"/>
        <w:adjustRightInd/>
        <w:snapToGrid/>
        <w:spacing w:line="560" w:lineRule="exact"/>
        <w:ind w:left="663" w:leftChars="300" w:hanging="3" w:hangingChars="1"/>
        <w:jc w:val="both"/>
        <w:textAlignment w:val="auto"/>
        <w:rPr>
          <w:rFonts w:hint="eastAsia" w:ascii="仿宋_GB2312" w:hAnsi="仿宋_GB2312" w:eastAsia="仿宋_GB2312" w:cs="仿宋_GB2312"/>
          <w:sz w:val="32"/>
          <w:szCs w:val="32"/>
        </w:rPr>
      </w:pPr>
      <w:bookmarkStart w:id="4" w:name="_Toc47689162"/>
      <w:r>
        <w:rPr>
          <w:rFonts w:hint="eastAsia" w:ascii="黑体" w:hAnsi="黑体" w:eastAsia="黑体" w:cs="黑体"/>
          <w:b w:val="0"/>
          <w:bCs w:val="0"/>
          <w:sz w:val="32"/>
          <w:szCs w:val="32"/>
        </w:rPr>
        <w:t>2.选手的知识及能力</w:t>
      </w:r>
      <w:bookmarkEnd w:id="4"/>
      <w:r>
        <w:rPr>
          <w:rFonts w:hint="eastAsia" w:ascii="黑体" w:hAnsi="黑体" w:eastAsia="黑体" w:cs="黑体"/>
          <w:b w:val="0"/>
          <w:bCs w:val="0"/>
          <w:sz w:val="32"/>
          <w:szCs w:val="32"/>
        </w:rPr>
        <w:t>要求</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健康照护师职业标准，结合我国国情，健康照护师应具备身体健康，心智健全，具有一定的观察、学习、理解、判断和计算能力，具有语言表达能力、沟通能力和社会适应能力，色觉、听觉正常，四肢灵活、动作协调。 同时，由于此次比赛是指为患者提供大量健全的身体和心理帮助，以及个人身心成长和发展方面技术支持的比赛项目。所以比赛对参赛选手的技能要求主要包括：</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5" w:name="_Toc47689163"/>
      <w:r>
        <w:rPr>
          <w:rFonts w:hint="eastAsia" w:ascii="仿宋_GB2312" w:hAnsi="仿宋_GB2312" w:eastAsia="仿宋_GB2312" w:cs="仿宋_GB2312"/>
          <w:sz w:val="32"/>
          <w:szCs w:val="32"/>
        </w:rPr>
        <w:t>能够观察发现照护对象的常见健康问题及疾病(危急)症状，提出相应预防、康复及照护措施，或提出送医建议；</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（2）能够观察发现照护对象的常见心理问题，提供简单心理疏导及支持性照护措施；</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（3）能够照护老年人生活起居、清洁卫生、睡眠、日常活动，提供合理饮食及适宜活动，提供预防意外伤害安全照护，为临终老人提供安宁疗护措施；</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（4）能够照护病患者生活起居、清洁卫生、日常活动，提供合理饮食及适宜活动，按医嘱督促协助照护对象按时服药、治疗；</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（5）能够为照护对象家庭提供整洁生活环境、合理营养膳食及健康常识普及。</w:t>
      </w:r>
      <w:bookmarkEnd w:id="5"/>
    </w:p>
    <w:p>
      <w:pPr>
        <w:pStyle w:val="2"/>
        <w:keepNext w:val="0"/>
        <w:keepLines w:val="0"/>
        <w:pageBreakBefore w:val="0"/>
        <w:kinsoku/>
        <w:wordWrap/>
        <w:overflowPunct/>
        <w:topLinePunct w:val="0"/>
        <w:bidi w:val="0"/>
        <w:adjustRightInd/>
        <w:snapToGrid/>
        <w:spacing w:line="560" w:lineRule="exact"/>
        <w:ind w:left="663" w:leftChars="300" w:hanging="3" w:hangingChars="1"/>
        <w:jc w:val="both"/>
        <w:textAlignment w:val="auto"/>
        <w:rPr>
          <w:rFonts w:hint="eastAsia" w:ascii="黑体" w:hAnsi="黑体" w:eastAsia="黑体" w:cs="黑体"/>
          <w:sz w:val="32"/>
          <w:szCs w:val="32"/>
        </w:rPr>
      </w:pPr>
      <w:bookmarkStart w:id="6" w:name="_Toc47689164"/>
      <w:r>
        <w:rPr>
          <w:rFonts w:hint="eastAsia" w:ascii="黑体" w:hAnsi="黑体" w:eastAsia="黑体" w:cs="黑体"/>
          <w:b w:val="0"/>
          <w:bCs w:val="0"/>
          <w:sz w:val="32"/>
          <w:szCs w:val="32"/>
        </w:rPr>
        <w:t>3.竞赛</w:t>
      </w:r>
      <w:bookmarkEnd w:id="6"/>
      <w:r>
        <w:rPr>
          <w:rFonts w:hint="eastAsia" w:ascii="黑体" w:hAnsi="黑体" w:eastAsia="黑体" w:cs="黑体"/>
          <w:b w:val="0"/>
          <w:bCs w:val="0"/>
          <w:sz w:val="32"/>
          <w:szCs w:val="32"/>
        </w:rPr>
        <w:t>项目</w:t>
      </w:r>
    </w:p>
    <w:p>
      <w:pPr>
        <w:pStyle w:val="3"/>
        <w:keepNext w:val="0"/>
        <w:keepLines w:val="0"/>
        <w:pageBreakBefore w:val="0"/>
        <w:kinsoku/>
        <w:wordWrap/>
        <w:overflowPunct/>
        <w:topLinePunct w:val="0"/>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3.1竞赛模块描述</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z w:val="32"/>
          <w:szCs w:val="32"/>
        </w:rPr>
        <w:t>比赛分别在</w:t>
      </w:r>
      <w:r>
        <w:rPr>
          <w:rFonts w:hint="eastAsia" w:ascii="仿宋_GB2312" w:hAnsi="仿宋_GB2312" w:eastAsia="仿宋_GB2312" w:cs="仿宋_GB2312"/>
          <w:spacing w:val="-11"/>
          <w:sz w:val="32"/>
          <w:szCs w:val="32"/>
        </w:rPr>
        <w:t>医院、家庭、长期照护中心、日间照护中心</w:t>
      </w:r>
      <w:r>
        <w:rPr>
          <w:rFonts w:hint="eastAsia" w:ascii="仿宋_GB2312" w:hAnsi="仿宋_GB2312" w:eastAsia="仿宋_GB2312" w:cs="仿宋_GB2312"/>
          <w:sz w:val="32"/>
          <w:szCs w:val="32"/>
        </w:rPr>
        <w:t>4个相应的场景中进行实践操作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每天考核两个模块</w:t>
      </w:r>
      <w:r>
        <w:rPr>
          <w:rFonts w:hint="eastAsia" w:ascii="仿宋_GB2312" w:hAnsi="仿宋_GB2312" w:eastAsia="仿宋_GB2312" w:cs="仿宋_GB2312"/>
          <w:sz w:val="32"/>
          <w:szCs w:val="32"/>
        </w:rPr>
        <w:t>。每个场景具体考核内容如下：</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院场景：重点评估在医院场景下，根据患者的健康照护需求，选手需要完成相关任务的能力。一般选择在医院场景下最常收治的患者，进行基本情况的描述，并设定需要完成的任务。由选手制定照护计划，对患者进行整体评估，根据需求完成相应的任务，例如疼痛的评估和相应的处置，各种常见并发症的预防，包括下肢静脉血栓、肺部感染、伤口换药、呼吸困难者的应急照护、造口用品的更换、 协助移动、出院指导和心理支持等；在照护过程中加强沟通和人文关怀、对患者进行健康教育、解答问题、评价照护的效果，综合评价选手对于住院患者的整体照护能力，尤其是对于疾病相关的专业知识和技能的掌握，以及人文沟通、健康教育、 临床应变、灵活创新等综合专业素养。</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日间照护中心场景：重点评估在日间照护中心，根据照护对象的健康照护需求，选手需要完成相关任务的能力。照护对象由于某种原因到访日间照护中心，要求解决健康照护相关的问题。根据案例描述和任务要求，由选手制定照护计划，对照护对象进行整体评估，根据需求完成相应的任务，例如体温、呼吸、脉搏、血压、血糖、 尿液监测等健康相关参数的测量，伤口处理，对照护对象进行相应治疗方法的指导，包括用药、肺功能监测、胰岛素注射、呼吸功能锻炼等。在照护过程中加强沟通和人文关怀，对照护对象进行健康教育、解答问题、评价照护的效果。综合评价选手对于日间照护中心的照护对象的整体照护能力，掌握相关专业知识和技能，以及人文沟通、健康教育、现场应变、灵活创新等的综合专业素养。</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家庭场景：重点评估在家庭场景下，根据照护对象的健康照护需求，选手需要完成相关任务的能力。服务对象处于居家状态，一般患有慢性疾病或者处于身心疾病康复期，要求选手按照要求上门为照护对象提供照护。根据案例描述和任务要求，由选手制定照护计划，对照护对象进行整体评估，根据需求完成相应的任务，例如家庭环境的评估和相应的处置，居家健康生活方式的养成，自我管理和自我照护措施的指导，教会照护对象监测评估病情技能以及紧急情况的处理，心理支持等，如睡眠环境的布置、轮椅、助行器的使用，冷热敷疗法、雾化吸入疗法、协助口服药物等常用的给药途径方法；在照护过程中加强沟通和人文关怀，对照护对象进行健康教育、解答问题、评价照护的效果，综合评价选手对于居家照护对象的整体照护能力，尤其是对于照护对象需求的健康方面专业知识和技能的掌握，以及人文沟通、健康教育、现场应变、灵活创新等的综合专业素养。</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长期照护中心场景：重点评估在长期照护中心，根据照护对象的健康照护需求，选手需要完成相关任务的能力。服务对象长期居住于照护机构，一般患有慢性疾病或者处于身心疾病康复期，无法自理或由家人照护。根据案例描述和任务要求，由选手制定照护计划，对照护对象进行整体评估，根据需求完成相应的任务， 例如构建良好而紧密的合作关系，帮助满足进食洗漱等日常生活需求，尤其是是结合疾病状态带来的生活自理困难和心理、情绪问题，包括长期卧床、肢体功能障碍、更换体位、认知障碍、压力性损伤照护、临终关怀等，帮助照护对象最大限度利用自己的资源和能力，提高生活质量。在照护过程中加强沟通和人文关怀，对照护对象进行健康教育、解答问题、评价照护的效果。综合评价选手对于长期照护中心的照护对象的整体照护能力，掌握相关专业知识和技能，以及人文沟通、健康教育、现场应变、灵活创新等的综合专业素养。</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3.2竞赛形式</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采用单人比赛模式，通过给予的案例描述，在指定的场景中，利用现有的资源，由标准化病人配合，对其进行自主和独立的健康和社会照护，完成规定的任务和整体的过程。</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3.3竞赛时长设置</w:t>
      </w:r>
    </w:p>
    <w:p>
      <w:pPr>
        <w:keepNext w:val="0"/>
        <w:keepLines w:val="0"/>
        <w:pageBreakBefore w:val="0"/>
        <w:kinsoku/>
        <w:wordWrap/>
        <w:overflowPunct/>
        <w:topLinePunct w:val="0"/>
        <w:bidi w:val="0"/>
        <w:adjustRightInd/>
        <w:snapToGrid/>
        <w:spacing w:line="560" w:lineRule="exact"/>
        <w:ind w:firstLine="61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rPr>
        <w:t>每个案例分为2个部分，分别是制定照护计划、照护实践（包含照护记录）。重点考核选手的文字表达能力、动手操作能力、沟通交流能力。</w:t>
      </w:r>
      <w:r>
        <w:rPr>
          <w:rFonts w:hint="eastAsia" w:ascii="仿宋_GB2312" w:hAnsi="仿宋_GB2312" w:eastAsia="仿宋_GB2312" w:cs="仿宋_GB2312"/>
          <w:color w:val="auto"/>
          <w:spacing w:val="-11"/>
          <w:sz w:val="32"/>
          <w:szCs w:val="32"/>
          <w:lang w:val="en-US" w:eastAsia="zh-CN"/>
        </w:rPr>
        <w:t>时间分配</w:t>
      </w:r>
      <w:r>
        <w:rPr>
          <w:rFonts w:hint="eastAsia" w:ascii="仿宋_GB2312" w:hAnsi="仿宋_GB2312" w:eastAsia="仿宋_GB2312" w:cs="仿宋_GB2312"/>
          <w:color w:val="auto"/>
          <w:spacing w:val="-11"/>
          <w:sz w:val="32"/>
          <w:szCs w:val="32"/>
        </w:rPr>
        <w:t>：两个模块书写计划</w:t>
      </w:r>
      <w:r>
        <w:rPr>
          <w:rFonts w:hint="eastAsia" w:ascii="仿宋_GB2312" w:hAnsi="仿宋_GB2312" w:eastAsia="仿宋_GB2312" w:cs="仿宋_GB2312"/>
          <w:color w:val="auto"/>
          <w:spacing w:val="-11"/>
          <w:sz w:val="32"/>
          <w:szCs w:val="32"/>
          <w:lang w:val="en-US" w:eastAsia="zh-CN"/>
        </w:rPr>
        <w:t>共</w:t>
      </w:r>
      <w:r>
        <w:rPr>
          <w:rFonts w:hint="eastAsia" w:ascii="仿宋_GB2312" w:hAnsi="仿宋_GB2312" w:eastAsia="仿宋_GB2312" w:cs="仿宋_GB2312"/>
          <w:color w:val="auto"/>
          <w:spacing w:val="-11"/>
          <w:sz w:val="32"/>
          <w:szCs w:val="32"/>
        </w:rPr>
        <w:t>15分钟，</w:t>
      </w:r>
      <w:r>
        <w:rPr>
          <w:rFonts w:hint="eastAsia" w:ascii="仿宋_GB2312" w:hAnsi="仿宋_GB2312" w:eastAsia="仿宋_GB2312" w:cs="仿宋_GB2312"/>
          <w:color w:val="auto"/>
          <w:spacing w:val="-11"/>
          <w:sz w:val="32"/>
          <w:szCs w:val="32"/>
          <w:lang w:val="en-US" w:eastAsia="zh-CN"/>
        </w:rPr>
        <w:t>每个模块</w:t>
      </w:r>
      <w:r>
        <w:rPr>
          <w:rFonts w:hint="eastAsia" w:ascii="仿宋_GB2312" w:hAnsi="仿宋_GB2312" w:eastAsia="仿宋_GB2312" w:cs="仿宋_GB2312"/>
          <w:color w:val="auto"/>
          <w:spacing w:val="-11"/>
          <w:sz w:val="32"/>
          <w:szCs w:val="32"/>
        </w:rPr>
        <w:t>熟悉场地及物品准备3分钟，每个模块照护实践20分钟（包含照护记录）。</w:t>
      </w:r>
      <w:r>
        <w:rPr>
          <w:rFonts w:hint="eastAsia" w:ascii="仿宋_GB2312" w:hAnsi="仿宋_GB2312" w:eastAsia="仿宋_GB2312" w:cs="仿宋_GB2312"/>
          <w:spacing w:val="-6"/>
          <w:sz w:val="32"/>
          <w:szCs w:val="32"/>
          <w:lang w:val="en-US"/>
        </w:rPr>
        <w:t>考核内容要求的长度均一致，这个会清晰的在时间表上进行展现。为公平起见，所有的模拟考核均采用单个选手考核模式。抽签考核并轮换场景。</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3.4</w:t>
      </w:r>
      <w:bookmarkStart w:id="7" w:name="_Toc47689166"/>
      <w:r>
        <w:rPr>
          <w:rFonts w:hint="eastAsia" w:ascii="楷体_GB2312" w:hAnsi="楷体_GB2312" w:eastAsia="楷体_GB2312" w:cs="楷体_GB2312"/>
          <w:b/>
          <w:bCs/>
          <w:sz w:val="32"/>
          <w:szCs w:val="32"/>
        </w:rPr>
        <w:t>竞赛命题方案</w:t>
      </w:r>
      <w:bookmarkEnd w:id="7"/>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赛题以健康照护师职业标准为基础，结合中国国情和我省产业转型升级及加快新旧动能转换的需要，结合场景和人群特征命题。</w:t>
      </w:r>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命题由专家组长负责，组织专家组成员按照大赛公布的最新技术文件组织编制。赛题中出现的评估测量的参数及评估的结果（如患者的一般情况、血糖的数值、神经功能检查的结果、疼痛的评分等），将通过讨论方式，随机呈现。这个方法目的在于考核选手对于专业技能的掌握和的灵活应对能力，以及现场反应能力。 </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楷体_GB2312" w:hAnsi="楷体_GB2312" w:eastAsia="楷体_GB2312" w:cs="楷体_GB2312"/>
          <w:b/>
          <w:bCs/>
          <w:sz w:val="32"/>
          <w:szCs w:val="32"/>
        </w:rPr>
      </w:pPr>
      <w:bookmarkStart w:id="8" w:name="_Toc47689167"/>
      <w:r>
        <w:rPr>
          <w:rFonts w:hint="eastAsia" w:ascii="楷体_GB2312" w:hAnsi="楷体_GB2312" w:eastAsia="楷体_GB2312" w:cs="楷体_GB2312"/>
          <w:b/>
          <w:bCs/>
          <w:sz w:val="32"/>
          <w:szCs w:val="32"/>
        </w:rPr>
        <w:t>3.5考场安排与裁判培训</w:t>
      </w:r>
      <w:bookmarkEnd w:id="8"/>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根据大赛委员会安排另行通知。</w:t>
      </w:r>
    </w:p>
    <w:p>
      <w:pPr>
        <w:pStyle w:val="2"/>
        <w:keepNext w:val="0"/>
        <w:keepLines w:val="0"/>
        <w:pageBreakBefore w:val="0"/>
        <w:kinsoku/>
        <w:wordWrap/>
        <w:overflowPunct/>
        <w:topLinePunct w:val="0"/>
        <w:bidi w:val="0"/>
        <w:adjustRightInd/>
        <w:snapToGrid/>
        <w:spacing w:line="560" w:lineRule="exact"/>
        <w:ind w:left="507" w:leftChars="229" w:hanging="3" w:hangingChars="1"/>
        <w:jc w:val="both"/>
        <w:textAlignment w:val="auto"/>
        <w:rPr>
          <w:rFonts w:hint="eastAsia" w:ascii="黑体" w:hAnsi="黑体" w:eastAsia="黑体" w:cs="黑体"/>
          <w:b w:val="0"/>
          <w:sz w:val="32"/>
          <w:szCs w:val="32"/>
        </w:rPr>
      </w:pPr>
      <w:bookmarkStart w:id="9" w:name="_Toc47689168"/>
      <w:r>
        <w:rPr>
          <w:rFonts w:hint="eastAsia" w:ascii="黑体" w:hAnsi="黑体" w:eastAsia="黑体" w:cs="黑体"/>
          <w:b w:val="0"/>
          <w:sz w:val="32"/>
          <w:szCs w:val="32"/>
          <w:lang w:val="en-US"/>
        </w:rPr>
        <w:t>4.</w:t>
      </w:r>
      <w:r>
        <w:rPr>
          <w:rFonts w:hint="eastAsia" w:ascii="黑体" w:hAnsi="黑体" w:eastAsia="黑体" w:cs="黑体"/>
          <w:b w:val="0"/>
          <w:sz w:val="32"/>
          <w:szCs w:val="32"/>
        </w:rPr>
        <w:t>评分标准</w:t>
      </w:r>
      <w:bookmarkEnd w:id="9"/>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本项目评分标准分为测量和评价两类。凡可采用客观数据表述的评判称为测量；凡需要采用主观描述进行的评判称为评价。 </w:t>
      </w:r>
    </w:p>
    <w:p>
      <w:pPr>
        <w:pStyle w:val="3"/>
        <w:keepNext w:val="0"/>
        <w:keepLines w:val="0"/>
        <w:pageBreakBefore w:val="0"/>
        <w:kinsoku/>
        <w:wordWrap/>
        <w:overflowPunct/>
        <w:topLinePunct w:val="0"/>
        <w:bidi w:val="0"/>
        <w:adjustRightInd/>
        <w:snapToGrid/>
        <w:spacing w:line="560" w:lineRule="exact"/>
        <w:ind w:left="736" w:leftChars="200" w:hanging="296" w:hangingChars="92"/>
        <w:jc w:val="both"/>
        <w:textAlignment w:val="auto"/>
        <w:rPr>
          <w:rFonts w:hint="eastAsia" w:ascii="楷体_GB2312" w:hAnsi="楷体_GB2312" w:eastAsia="楷体_GB2312" w:cs="楷体_GB2312"/>
          <w:b/>
          <w:bCs/>
          <w:sz w:val="32"/>
          <w:szCs w:val="32"/>
        </w:rPr>
      </w:pPr>
      <w:bookmarkStart w:id="10" w:name="_Toc47689169"/>
      <w:r>
        <w:rPr>
          <w:rFonts w:hint="eastAsia" w:ascii="楷体_GB2312" w:hAnsi="楷体_GB2312" w:eastAsia="楷体_GB2312" w:cs="楷体_GB2312"/>
          <w:b/>
          <w:bCs/>
          <w:sz w:val="32"/>
          <w:szCs w:val="32"/>
        </w:rPr>
        <w:t>4.1 评价分（主观）</w:t>
      </w:r>
      <w:bookmarkEnd w:id="10"/>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评价分打分方式：3名裁判为一组，各自单独评分，计算出平均权重分，除以3后再乘以该子项的分值计算出实际得分。裁判相互间分差必须小于等于1分，否则需要给出确切理由并在小组长或裁判长的监督下进行调分。 </w:t>
      </w:r>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权重表如下：</w:t>
      </w:r>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p>
    <w:tbl>
      <w:tblPr>
        <w:tblStyle w:val="12"/>
        <w:tblpPr w:leftFromText="180" w:rightFromText="180" w:vertAnchor="text" w:horzAnchor="page" w:tblpXSpec="center" w:tblpY="210"/>
        <w:tblOverlap w:val="never"/>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6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59"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权重分值</w:t>
            </w:r>
          </w:p>
        </w:tc>
        <w:tc>
          <w:tcPr>
            <w:tcW w:w="6763"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59"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0分</w:t>
            </w:r>
          </w:p>
        </w:tc>
        <w:tc>
          <w:tcPr>
            <w:tcW w:w="6763"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完全不能体现专业形象和气质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59"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1分</w:t>
            </w:r>
          </w:p>
        </w:tc>
        <w:tc>
          <w:tcPr>
            <w:tcW w:w="6763"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能够符合专业形象和气质的基本要求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59"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2分</w:t>
            </w:r>
          </w:p>
        </w:tc>
        <w:tc>
          <w:tcPr>
            <w:tcW w:w="6763"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较好体现专业形象和气质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59"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3分</w:t>
            </w:r>
          </w:p>
        </w:tc>
        <w:tc>
          <w:tcPr>
            <w:tcW w:w="6763"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专业形象良好，气质自信、关爱、温暖、友善等</w:t>
            </w:r>
          </w:p>
        </w:tc>
      </w:tr>
    </w:tbl>
    <w:p>
      <w:pPr>
        <w:pStyle w:val="3"/>
        <w:keepNext w:val="0"/>
        <w:keepLines w:val="0"/>
        <w:pageBreakBefore w:val="0"/>
        <w:kinsoku/>
        <w:wordWrap/>
        <w:overflowPunct/>
        <w:topLinePunct w:val="0"/>
        <w:bidi w:val="0"/>
        <w:adjustRightInd/>
        <w:snapToGrid/>
        <w:spacing w:line="560" w:lineRule="exact"/>
        <w:ind w:left="0" w:leftChars="0" w:firstLine="0" w:firstLineChars="0"/>
        <w:jc w:val="both"/>
        <w:textAlignment w:val="auto"/>
        <w:rPr>
          <w:rFonts w:hint="eastAsia" w:ascii="楷体_GB2312" w:hAnsi="楷体_GB2312" w:eastAsia="楷体_GB2312" w:cs="楷体_GB2312"/>
          <w:b/>
          <w:bCs/>
          <w:sz w:val="32"/>
          <w:szCs w:val="32"/>
        </w:rPr>
      </w:pPr>
      <w:bookmarkStart w:id="11" w:name="_Toc47689170"/>
      <w:r>
        <w:rPr>
          <w:rFonts w:hint="eastAsia" w:ascii="楷体_GB2312" w:hAnsi="楷体_GB2312" w:eastAsia="楷体_GB2312" w:cs="楷体_GB2312"/>
          <w:b/>
          <w:bCs/>
          <w:sz w:val="32"/>
          <w:szCs w:val="32"/>
        </w:rPr>
        <w:t>4.2 测量分（客观）</w:t>
      </w:r>
      <w:bookmarkEnd w:id="11"/>
    </w:p>
    <w:p>
      <w:pPr>
        <w:keepNext w:val="0"/>
        <w:keepLines w:val="0"/>
        <w:pageBreakBefore w:val="0"/>
        <w:widowControl/>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测量分打分方式：按模块设置若干个评分组，每组由3名裁判参与打分</w:t>
      </w:r>
      <w:r>
        <w:rPr>
          <w:rFonts w:hint="eastAsia" w:ascii="仿宋_GB2312" w:hAnsi="仿宋_GB2312" w:eastAsia="仿宋_GB2312" w:cs="仿宋_GB2312"/>
          <w:color w:val="auto"/>
          <w:sz w:val="32"/>
          <w:szCs w:val="32"/>
          <w:lang w:val="en-US"/>
        </w:rPr>
        <w:t>。每个组所有裁判一起商议，在对该选手在</w:t>
      </w:r>
      <w:r>
        <w:rPr>
          <w:rFonts w:hint="eastAsia" w:ascii="仿宋_GB2312" w:hAnsi="仿宋_GB2312" w:eastAsia="仿宋_GB2312" w:cs="仿宋_GB2312"/>
          <w:sz w:val="32"/>
          <w:szCs w:val="32"/>
          <w:lang w:val="en-US"/>
        </w:rPr>
        <w:t>该项中的实际得分达成一致后最终只给出一个分值</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4.2.1测量分评分准则样例表：</w:t>
      </w:r>
    </w:p>
    <w:tbl>
      <w:tblPr>
        <w:tblStyle w:val="12"/>
        <w:tblpPr w:leftFromText="180" w:rightFromText="180" w:vertAnchor="text" w:horzAnchor="page" w:tblpX="1394" w:tblpY="233"/>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3105"/>
        <w:gridCol w:w="1320"/>
        <w:gridCol w:w="123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836"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类型</w:t>
            </w:r>
          </w:p>
        </w:tc>
        <w:tc>
          <w:tcPr>
            <w:tcW w:w="3105"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示例</w:t>
            </w:r>
          </w:p>
        </w:tc>
        <w:tc>
          <w:tcPr>
            <w:tcW w:w="1320"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最高分值</w:t>
            </w:r>
          </w:p>
        </w:tc>
        <w:tc>
          <w:tcPr>
            <w:tcW w:w="1230"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正确分值</w:t>
            </w:r>
          </w:p>
        </w:tc>
        <w:tc>
          <w:tcPr>
            <w:tcW w:w="1440"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不正确分值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36"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满分或零分</w:t>
            </w:r>
          </w:p>
        </w:tc>
        <w:tc>
          <w:tcPr>
            <w:tcW w:w="3105"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疼痛评估方法正确</w:t>
            </w:r>
          </w:p>
        </w:tc>
        <w:tc>
          <w:tcPr>
            <w:tcW w:w="132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w:t>
            </w:r>
          </w:p>
        </w:tc>
        <w:tc>
          <w:tcPr>
            <w:tcW w:w="123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2</w:t>
            </w:r>
          </w:p>
        </w:tc>
        <w:tc>
          <w:tcPr>
            <w:tcW w:w="144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836"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从满分中扣除</w:t>
            </w:r>
          </w:p>
        </w:tc>
        <w:tc>
          <w:tcPr>
            <w:tcW w:w="3105"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移动髋关节置换患者步骤正确，每错误一次扣 0.5，扣完为止</w:t>
            </w:r>
          </w:p>
        </w:tc>
        <w:tc>
          <w:tcPr>
            <w:tcW w:w="132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w:t>
            </w:r>
          </w:p>
        </w:tc>
        <w:tc>
          <w:tcPr>
            <w:tcW w:w="123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w:t>
            </w:r>
          </w:p>
        </w:tc>
        <w:tc>
          <w:tcPr>
            <w:tcW w:w="1440" w:type="dxa"/>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836"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从零分开始加</w:t>
            </w:r>
          </w:p>
        </w:tc>
        <w:tc>
          <w:tcPr>
            <w:tcW w:w="3105"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健康教育的元素，每提到一个关键点得 0.5，最高 3 分</w:t>
            </w:r>
          </w:p>
        </w:tc>
        <w:tc>
          <w:tcPr>
            <w:tcW w:w="132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w:t>
            </w:r>
          </w:p>
        </w:tc>
        <w:tc>
          <w:tcPr>
            <w:tcW w:w="1230"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0.5-3</w:t>
            </w:r>
          </w:p>
        </w:tc>
        <w:tc>
          <w:tcPr>
            <w:tcW w:w="1440" w:type="dxa"/>
            <w:vAlign w:val="center"/>
          </w:tcPr>
          <w:p>
            <w:pPr>
              <w:keepNext w:val="0"/>
              <w:keepLines w:val="0"/>
              <w:pageBreakBefore w:val="0"/>
              <w:widowControl/>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0</w:t>
            </w:r>
          </w:p>
        </w:tc>
      </w:tr>
    </w:tbl>
    <w:p>
      <w:pPr>
        <w:pStyle w:val="3"/>
        <w:keepNext w:val="0"/>
        <w:keepLines w:val="0"/>
        <w:pageBreakBefore w:val="0"/>
        <w:kinsoku/>
        <w:wordWrap/>
        <w:overflowPunct/>
        <w:topLinePunct w:val="0"/>
        <w:bidi w:val="0"/>
        <w:adjustRightInd/>
        <w:snapToGrid/>
        <w:spacing w:line="560" w:lineRule="exact"/>
        <w:ind w:left="0" w:leftChars="0"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4.2.2 测量分评分细则样例表：</w:t>
      </w:r>
    </w:p>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bCs/>
          <w:sz w:val="24"/>
          <w:szCs w:val="24"/>
          <w:u w:val="single"/>
        </w:rPr>
      </w:pPr>
      <w:r>
        <w:rPr>
          <w:rFonts w:hint="eastAsia" w:ascii="仿宋_GB2312" w:hAnsi="仿宋_GB2312" w:eastAsia="仿宋_GB2312" w:cs="仿宋_GB2312"/>
          <w:b/>
          <w:bCs/>
          <w:sz w:val="24"/>
          <w:szCs w:val="24"/>
        </w:rPr>
        <w:t>项目名称：</w:t>
      </w:r>
      <w:r>
        <w:rPr>
          <w:rFonts w:hint="eastAsia" w:ascii="仿宋_GB2312" w:hAnsi="仿宋_GB2312" w:eastAsia="仿宋_GB2312" w:cs="仿宋_GB2312"/>
          <w:b/>
          <w:bCs/>
          <w:sz w:val="24"/>
          <w:szCs w:val="24"/>
          <w:u w:val="single"/>
        </w:rPr>
        <w:t>健康照护师</w:t>
      </w:r>
      <w:r>
        <w:rPr>
          <w:rFonts w:hint="eastAsia" w:ascii="仿宋_GB2312" w:hAnsi="仿宋_GB2312" w:eastAsia="仿宋_GB2312" w:cs="仿宋_GB2312"/>
          <w:b/>
          <w:bCs/>
          <w:sz w:val="24"/>
          <w:szCs w:val="24"/>
        </w:rPr>
        <w:t xml:space="preserve">          选手编号：</w:t>
      </w:r>
      <w:r>
        <w:rPr>
          <w:rFonts w:hint="eastAsia" w:ascii="仿宋_GB2312" w:hAnsi="仿宋_GB2312" w:eastAsia="仿宋_GB2312" w:cs="仿宋_GB2312"/>
          <w:b/>
          <w:bCs/>
          <w:sz w:val="24"/>
          <w:szCs w:val="24"/>
          <w:u w:val="single"/>
        </w:rPr>
        <w:t xml:space="preserve">          </w:t>
      </w:r>
      <w:r>
        <w:rPr>
          <w:rFonts w:hint="eastAsia" w:ascii="仿宋_GB2312" w:hAnsi="仿宋_GB2312" w:eastAsia="仿宋_GB2312" w:cs="仿宋_GB2312"/>
          <w:b/>
          <w:bCs/>
          <w:sz w:val="24"/>
          <w:szCs w:val="24"/>
        </w:rPr>
        <w:t xml:space="preserve">        得分：</w:t>
      </w:r>
      <w:r>
        <w:rPr>
          <w:rFonts w:hint="eastAsia" w:ascii="仿宋_GB2312" w:hAnsi="仿宋_GB2312" w:eastAsia="仿宋_GB2312" w:cs="仿宋_GB2312"/>
          <w:b/>
          <w:bCs/>
          <w:sz w:val="24"/>
          <w:szCs w:val="24"/>
          <w:u w:val="single"/>
        </w:rPr>
        <w:t xml:space="preserve">            </w:t>
      </w:r>
    </w:p>
    <w:tbl>
      <w:tblPr>
        <w:tblStyle w:val="11"/>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850"/>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yellow"/>
              </w:rPr>
              <w:t>1</w:t>
            </w:r>
          </w:p>
        </w:tc>
        <w:tc>
          <w:tcPr>
            <w:tcW w:w="85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highlight w:val="yellow"/>
              </w:rPr>
            </w:pP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yellow"/>
              </w:rPr>
              <w:t>照护计划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计划包括所用的任务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书面计划包括时间计划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M3</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目标命名明确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M4</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目标以照护对象为导向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M5</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书面计划有参赛者的编号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yellow"/>
              </w:rPr>
              <w:t>2</w:t>
            </w:r>
          </w:p>
        </w:tc>
        <w:tc>
          <w:tcPr>
            <w:tcW w:w="85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highlight w:val="yellow"/>
              </w:rPr>
            </w:pP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yellow"/>
              </w:rPr>
              <w:t>照护实践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参赛者仪表整洁、得体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正确的问候照护对象，并自我介绍，以营造和谐氛围。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M3</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核对照护对象身份。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M4</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解释访视的目的。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M5</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与照护对象建立融洽的关系，营造和谐氛围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M6</w:t>
            </w:r>
          </w:p>
        </w:tc>
        <w:tc>
          <w:tcPr>
            <w:tcW w:w="8080" w:type="dxa"/>
            <w:vAlign w:val="center"/>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评估照护对象现在的感受和感觉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M7</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评估照护对象对于疾病的理解，侧重于健康教育需求、情感和社会、心理支持等。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M8</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描述健康相关信息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M9</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告知照护的具体目的，意义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M10</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参赛者确认照护对象已理解并同意配合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M11</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M12</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M13</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在这个过程中有创新的，有效的方法。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M14</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所有步骤完成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M15</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为照护对象提供健康生活的指导，健康教育方法恰当。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M16</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提出开放式问题并使用闭合性话语进行沟通。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M17</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展示良好的沟通技能。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M18</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恰当地回答照护对象提出的问题。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M19</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发现并正确处理照护对象的情绪。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M20</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能正确解决照护对象冲突、应对照护对象提出的难题。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M21</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提供积极的支持，鼓励照护对象提高自我管理能力。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M22</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健康教育的方法恰当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M23</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坚持卫生原则，正确使用保护性物品。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M24</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关注照护对象的安全隐患或潜在并发症，并采取行动或建议/指导等。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M25</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是否有违反以上未提到的法律、法规、公约、标准等。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highlight w:val="yellow"/>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yellow"/>
              </w:rPr>
              <w:t>M</w:t>
            </w:r>
          </w:p>
        </w:tc>
        <w:tc>
          <w:tcPr>
            <w:tcW w:w="808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yellow"/>
              </w:rPr>
              <w:t>照护记录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M26</w:t>
            </w:r>
          </w:p>
        </w:tc>
        <w:tc>
          <w:tcPr>
            <w:tcW w:w="8080" w:type="dxa"/>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1.照护对象的日常评估；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M27</w:t>
            </w:r>
          </w:p>
        </w:tc>
        <w:tc>
          <w:tcPr>
            <w:tcW w:w="8080" w:type="dxa"/>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2.照护对象自己做了什么；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M28</w:t>
            </w:r>
          </w:p>
        </w:tc>
        <w:tc>
          <w:tcPr>
            <w:tcW w:w="8080" w:type="dxa"/>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3.照护对象对健康教育接受程度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M29</w:t>
            </w:r>
          </w:p>
        </w:tc>
        <w:tc>
          <w:tcPr>
            <w:tcW w:w="8080" w:type="dxa"/>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4.下次访视时间；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keepNext w:val="0"/>
              <w:keepLines w:val="0"/>
              <w:pageBreakBefore w:val="0"/>
              <w:kinsoku/>
              <w:wordWrap/>
              <w:overflowPunct/>
              <w:topLinePunct w:val="0"/>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p>
        </w:tc>
        <w:tc>
          <w:tcPr>
            <w:tcW w:w="850" w:type="dxa"/>
          </w:tcPr>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M30</w:t>
            </w:r>
          </w:p>
        </w:tc>
        <w:tc>
          <w:tcPr>
            <w:tcW w:w="8080" w:type="dxa"/>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5.签名</w:t>
            </w:r>
          </w:p>
        </w:tc>
      </w:tr>
    </w:tbl>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sz w:val="32"/>
          <w:szCs w:val="32"/>
          <w:lang w:val="en-US"/>
        </w:rPr>
      </w:pPr>
      <w:r>
        <w:rPr>
          <w:rFonts w:hint="eastAsia" w:ascii="仿宋_GB2312" w:hAnsi="仿宋_GB2312" w:eastAsia="仿宋_GB2312" w:cs="仿宋_GB2312"/>
          <w:sz w:val="32"/>
          <w:szCs w:val="32"/>
        </w:rPr>
        <w:t>裁判组长签名：             裁判签名：</w:t>
      </w:r>
    </w:p>
    <w:p>
      <w:pPr>
        <w:pStyle w:val="3"/>
        <w:keepNext w:val="0"/>
        <w:keepLines w:val="0"/>
        <w:pageBreakBefore w:val="0"/>
        <w:kinsoku/>
        <w:wordWrap/>
        <w:overflowPunct/>
        <w:topLinePunct w:val="0"/>
        <w:autoSpaceDE w:val="0"/>
        <w:autoSpaceDN w:val="0"/>
        <w:bidi w:val="0"/>
        <w:adjustRightInd/>
        <w:snapToGrid/>
        <w:spacing w:line="560" w:lineRule="exact"/>
        <w:ind w:left="736" w:leftChars="200" w:hanging="296" w:hangingChars="92"/>
        <w:jc w:val="both"/>
        <w:textAlignment w:val="auto"/>
        <w:rPr>
          <w:rFonts w:hint="eastAsia" w:ascii="仿宋_GB2312" w:hAnsi="仿宋_GB2312" w:eastAsia="仿宋_GB2312" w:cs="仿宋_GB2312"/>
          <w:b/>
          <w:bCs/>
          <w:sz w:val="32"/>
          <w:szCs w:val="32"/>
          <w:lang w:val="en-US"/>
        </w:rPr>
      </w:pPr>
      <w:bookmarkStart w:id="12" w:name="_Toc47689171"/>
      <w:r>
        <w:rPr>
          <w:rFonts w:hint="eastAsia" w:ascii="仿宋_GB2312" w:hAnsi="仿宋_GB2312" w:eastAsia="仿宋_GB2312" w:cs="仿宋_GB2312"/>
          <w:b/>
          <w:bCs/>
          <w:sz w:val="32"/>
          <w:szCs w:val="32"/>
        </w:rPr>
        <w:t>4.3 评分流程说明</w:t>
      </w:r>
      <w:bookmarkEnd w:id="12"/>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在各个模块中，操作能力和沟通交流能力现场过程记录，在预留的时间段内小组商议确定分值。文字部分选手完成后，根据结果，由裁判共同评分。计时到即停止比赛，未完成部分不得分。 </w:t>
      </w:r>
    </w:p>
    <w:p>
      <w:pPr>
        <w:pStyle w:val="3"/>
        <w:keepNext w:val="0"/>
        <w:keepLines w:val="0"/>
        <w:pageBreakBefore w:val="0"/>
        <w:kinsoku/>
        <w:wordWrap/>
        <w:overflowPunct/>
        <w:topLinePunct w:val="0"/>
        <w:autoSpaceDE w:val="0"/>
        <w:autoSpaceDN w:val="0"/>
        <w:bidi w:val="0"/>
        <w:adjustRightInd/>
        <w:snapToGrid/>
        <w:spacing w:line="560" w:lineRule="exact"/>
        <w:ind w:left="736" w:leftChars="200" w:hanging="296" w:hangingChars="92"/>
        <w:jc w:val="both"/>
        <w:textAlignment w:val="auto"/>
        <w:rPr>
          <w:rFonts w:hint="eastAsia" w:ascii="仿宋_GB2312" w:hAnsi="仿宋_GB2312" w:eastAsia="仿宋_GB2312" w:cs="仿宋_GB2312"/>
          <w:b/>
          <w:bCs/>
          <w:sz w:val="32"/>
          <w:szCs w:val="32"/>
          <w:lang w:val="en-US"/>
        </w:rPr>
      </w:pPr>
      <w:bookmarkStart w:id="13" w:name="_Toc47689172"/>
      <w:r>
        <w:rPr>
          <w:rFonts w:hint="eastAsia" w:ascii="仿宋_GB2312" w:hAnsi="仿宋_GB2312" w:eastAsia="仿宋_GB2312" w:cs="仿宋_GB2312"/>
          <w:b/>
          <w:bCs/>
          <w:sz w:val="32"/>
          <w:szCs w:val="32"/>
        </w:rPr>
        <w:t>4.4 统分方法</w:t>
      </w:r>
      <w:bookmarkEnd w:id="13"/>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sz w:val="32"/>
          <w:szCs w:val="32"/>
          <w:lang w:val="en-US"/>
        </w:rPr>
      </w:pPr>
      <w:r>
        <w:rPr>
          <w:rFonts w:hint="eastAsia" w:ascii="仿宋_GB2312" w:hAnsi="仿宋_GB2312" w:eastAsia="仿宋_GB2312" w:cs="仿宋_GB2312"/>
          <w:sz w:val="32"/>
          <w:szCs w:val="32"/>
          <w:lang w:val="en-US"/>
        </w:rPr>
        <w:t>统一由裁判长进行复核，并由工作人员录入系统。</w:t>
      </w:r>
    </w:p>
    <w:p>
      <w:pPr>
        <w:pStyle w:val="3"/>
        <w:keepNext w:val="0"/>
        <w:keepLines w:val="0"/>
        <w:pageBreakBefore w:val="0"/>
        <w:kinsoku/>
        <w:wordWrap/>
        <w:overflowPunct/>
        <w:topLinePunct w:val="0"/>
        <w:autoSpaceDE w:val="0"/>
        <w:autoSpaceDN w:val="0"/>
        <w:bidi w:val="0"/>
        <w:adjustRightInd/>
        <w:snapToGrid/>
        <w:spacing w:line="560" w:lineRule="exact"/>
        <w:ind w:left="736" w:leftChars="200" w:hanging="296" w:hangingChars="92"/>
        <w:jc w:val="both"/>
        <w:textAlignment w:val="auto"/>
        <w:rPr>
          <w:rFonts w:hint="eastAsia" w:ascii="仿宋_GB2312" w:hAnsi="仿宋_GB2312" w:eastAsia="仿宋_GB2312" w:cs="仿宋_GB2312"/>
          <w:b/>
          <w:bCs/>
          <w:sz w:val="32"/>
          <w:szCs w:val="32"/>
        </w:rPr>
      </w:pPr>
      <w:bookmarkStart w:id="14" w:name="_Toc47689173"/>
      <w:r>
        <w:rPr>
          <w:rFonts w:hint="eastAsia" w:ascii="仿宋_GB2312" w:hAnsi="仿宋_GB2312" w:eastAsia="仿宋_GB2312" w:cs="仿宋_GB2312"/>
          <w:b/>
          <w:bCs/>
          <w:sz w:val="32"/>
          <w:szCs w:val="32"/>
        </w:rPr>
        <w:t>4.5 裁判构成和分组</w:t>
      </w:r>
      <w:bookmarkEnd w:id="14"/>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根据推荐的裁判人选，进行评估，就专业能力、组织管理能力和沟通能力，进行分组和分工，同时实行同单位回避原则。</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4.5.1 裁判组：邀请专家担任裁判长，裁判员由技术指导专家和选手单位选派人员组成。裁判组由专家组长负责组建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考务工作可由裁判组承担或在确保公平公正的前提下，由保障组承担。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4.5.2 预期分组与分工方案：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按照场景和工作需要进行分组，即不同场景的案例裁判组。每组均包括1名组长和若干组员（根据裁判人数具体决定）负责按照规则评分。分组时避免组长与本单位选手一组（抽签后裁判长平行调整，不影响顺序）；裁判组将采取更多方式，保持组间一致，做到公平公正客观。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裁判相关安排可根据报名情况及比赛实际由裁判长进行适当调整。</w:t>
      </w:r>
    </w:p>
    <w:p>
      <w:pPr>
        <w:pStyle w:val="2"/>
        <w:keepNext w:val="0"/>
        <w:keepLines w:val="0"/>
        <w:pageBreakBefore w:val="0"/>
        <w:kinsoku/>
        <w:wordWrap/>
        <w:overflowPunct/>
        <w:topLinePunct w:val="0"/>
        <w:autoSpaceDE w:val="0"/>
        <w:autoSpaceDN w:val="0"/>
        <w:bidi w:val="0"/>
        <w:adjustRightInd/>
        <w:snapToGrid/>
        <w:spacing w:line="560" w:lineRule="exact"/>
        <w:ind w:left="663" w:leftChars="300" w:hanging="3" w:hangingChars="1"/>
        <w:jc w:val="both"/>
        <w:textAlignment w:val="auto"/>
        <w:rPr>
          <w:rFonts w:hint="eastAsia" w:ascii="黑体" w:hAnsi="黑体" w:eastAsia="黑体" w:cs="黑体"/>
          <w:b/>
          <w:sz w:val="32"/>
          <w:szCs w:val="32"/>
          <w:lang w:val="en-US"/>
        </w:rPr>
      </w:pPr>
      <w:r>
        <w:rPr>
          <w:rFonts w:hint="eastAsia" w:ascii="黑体" w:hAnsi="黑体" w:eastAsia="黑体" w:cs="黑体"/>
          <w:sz w:val="32"/>
          <w:szCs w:val="32"/>
          <w:lang w:val="en-US"/>
        </w:rPr>
        <w:t>5.竞赛样题</w:t>
      </w:r>
    </w:p>
    <w:p>
      <w:pPr>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eastAsia" w:ascii="楷体_GB2312" w:hAnsi="楷体_GB2312" w:eastAsia="楷体_GB2312" w:cs="楷体_GB2312"/>
          <w:b/>
          <w:bCs w:val="0"/>
          <w:sz w:val="32"/>
          <w:szCs w:val="32"/>
          <w:lang w:val="en-US"/>
        </w:rPr>
      </w:pPr>
      <w:r>
        <w:rPr>
          <w:rFonts w:hint="eastAsia" w:ascii="楷体_GB2312" w:hAnsi="楷体_GB2312" w:eastAsia="楷体_GB2312" w:cs="楷体_GB2312"/>
          <w:b/>
          <w:bCs w:val="0"/>
          <w:sz w:val="32"/>
          <w:szCs w:val="32"/>
          <w:lang w:val="en-US"/>
        </w:rPr>
        <w:t>（一）医院场景样题</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【模块描述】</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李翔，男，53 岁，既往有高血压病史5年，因昨日突然出现头痛、烦躁、眩晕等症状前来就医，测血压150/95mmhg,医生为其诊断治疗之后，病情有所好转。今早查房时医生发现照护对象眼睛发红，为其开具了红霉素眼膏进行涂抹，一天两次。</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【照护任务】</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请给患者用眼药</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请给患者测量血压</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请完成高血压健康教育</w:t>
      </w:r>
    </w:p>
    <w:p>
      <w:pPr>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（二）日间照护中心场景样题</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【模块描述】</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赵华，男，85岁，右侧肢体偏瘫，有冠心病、高血压病史。与儿子住在一起，一周前老伴因慢性结肠炎入院，家中无人照护。儿子将其送入日间照护中心，老人来的时候有点闷闷不乐，现在是早上。</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【照护任务】</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•请指导照护对象吃早餐</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•请协助照护对象口服用药</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•请完成对照护对象的健康教育</w:t>
      </w:r>
    </w:p>
    <w:p>
      <w:pPr>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（三）家庭场景样题</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【模块描述】</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张红，女，70岁，丈夫去世两年，一个人住在家里。昨天上午由于受凉感觉头晕、乏力，自测体温38℃，随即去社区门诊进行治疗，医生给她开了抗生素。回家后，凌晨5点如厕时不小心摔倒在卫生间，左下臂外侧有几处瘀伤和擦伤，自己不知道如何处理，她给你所在的社区中心打电话寻求帮助，你来的时候她已经坐在沙发等待你的到来。</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【照护任务】</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•请为她测量体温、脉搏、呼吸、血压。</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•对她的伤口进行简单的清理，用绷带包扎并固定。</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•请完成对照护对象的健康教育</w:t>
      </w:r>
    </w:p>
    <w:p>
      <w:pPr>
        <w:keepNext w:val="0"/>
        <w:keepLines w:val="0"/>
        <w:pageBreakBefore w:val="0"/>
        <w:widowControl/>
        <w:kinsoku/>
        <w:wordWrap/>
        <w:overflowPunct/>
        <w:topLinePunct w:val="0"/>
        <w:autoSpaceDE w:val="0"/>
        <w:autoSpaceDN w:val="0"/>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lang w:val="en-US"/>
        </w:rPr>
      </w:pPr>
      <w:r>
        <w:rPr>
          <w:rFonts w:hint="eastAsia" w:ascii="楷体_GB2312" w:hAnsi="楷体_GB2312" w:eastAsia="楷体_GB2312" w:cs="楷体_GB2312"/>
          <w:b/>
          <w:sz w:val="32"/>
          <w:szCs w:val="32"/>
          <w:lang w:val="en-US"/>
        </w:rPr>
        <w:t>（四）长期照护中心场景样题</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【模块描述】</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张光，男性，75岁，退休教师，2年前诊断为帕金森，运动迟缓伴左上肢不自主抖动2年余，穿衣、夹菜动作迟缓，呈进行性加重，平素精神一般，有焦虑情绪，夜间睡眠可。因子女都在外地工作，将其送入你所在的长期照护中心。今天早上你来巡视房间时，看到其闷闷不乐趟在床上。</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【照护任务】</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•请对照护对象进行穿衣训练</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•请教会照护对象使用助行架行走</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•请完成对照护对象的健康教育</w:t>
      </w:r>
    </w:p>
    <w:p>
      <w:pPr>
        <w:pStyle w:val="2"/>
        <w:keepNext w:val="0"/>
        <w:keepLines w:val="0"/>
        <w:pageBreakBefore w:val="0"/>
        <w:kinsoku/>
        <w:wordWrap/>
        <w:overflowPunct/>
        <w:topLinePunct w:val="0"/>
        <w:autoSpaceDE w:val="0"/>
        <w:autoSpaceDN w:val="0"/>
        <w:bidi w:val="0"/>
        <w:adjustRightInd/>
        <w:snapToGrid/>
        <w:spacing w:line="560" w:lineRule="exact"/>
        <w:ind w:left="663" w:leftChars="300" w:hanging="3" w:hangingChars="1"/>
        <w:jc w:val="both"/>
        <w:textAlignment w:val="auto"/>
        <w:rPr>
          <w:rFonts w:hint="eastAsia" w:ascii="黑体" w:hAnsi="黑体" w:eastAsia="黑体" w:cs="黑体"/>
          <w:b/>
          <w:sz w:val="32"/>
          <w:szCs w:val="32"/>
          <w:lang w:val="en-US"/>
        </w:rPr>
      </w:pPr>
      <w:bookmarkStart w:id="15" w:name="_Toc47689174"/>
      <w:r>
        <w:rPr>
          <w:rFonts w:hint="eastAsia" w:ascii="黑体" w:hAnsi="黑体" w:eastAsia="黑体" w:cs="黑体"/>
          <w:sz w:val="32"/>
          <w:szCs w:val="32"/>
          <w:lang w:val="en-US"/>
        </w:rPr>
        <w:t>6.竞赛相关设施设备</w:t>
      </w:r>
      <w:bookmarkEnd w:id="15"/>
    </w:p>
    <w:p>
      <w:pPr>
        <w:pStyle w:val="3"/>
        <w:keepNext w:val="0"/>
        <w:keepLines w:val="0"/>
        <w:pageBreakBefore w:val="0"/>
        <w:kinsoku/>
        <w:wordWrap/>
        <w:overflowPunct/>
        <w:topLinePunct w:val="0"/>
        <w:autoSpaceDE w:val="0"/>
        <w:autoSpaceDN w:val="0"/>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sz w:val="32"/>
          <w:szCs w:val="32"/>
          <w:lang w:val="en-US"/>
        </w:rPr>
      </w:pPr>
      <w:bookmarkStart w:id="16" w:name="_Toc47689175"/>
      <w:r>
        <w:rPr>
          <w:rFonts w:hint="eastAsia" w:ascii="楷体_GB2312" w:hAnsi="楷体_GB2312" w:eastAsia="楷体_GB2312" w:cs="楷体_GB2312"/>
          <w:b/>
          <w:bCs/>
          <w:sz w:val="32"/>
          <w:szCs w:val="32"/>
        </w:rPr>
        <w:t xml:space="preserve">6.1 </w:t>
      </w:r>
      <w:bookmarkEnd w:id="16"/>
      <w:bookmarkStart w:id="17" w:name="_Toc47689176"/>
      <w:r>
        <w:rPr>
          <w:rFonts w:hint="eastAsia" w:ascii="楷体_GB2312" w:hAnsi="楷体_GB2312" w:eastAsia="楷体_GB2312" w:cs="楷体_GB2312"/>
          <w:b/>
          <w:bCs/>
          <w:sz w:val="32"/>
          <w:szCs w:val="32"/>
        </w:rPr>
        <w:t>决赛场地禁止自带使用的设备和材料</w:t>
      </w:r>
      <w:bookmarkEnd w:id="1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4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序号</w:t>
            </w:r>
          </w:p>
        </w:tc>
        <w:tc>
          <w:tcPr>
            <w:tcW w:w="747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设备和材料名称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4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w:t>
            </w:r>
          </w:p>
        </w:tc>
        <w:tc>
          <w:tcPr>
            <w:tcW w:w="747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手机等通信设备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4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p>
        </w:tc>
        <w:tc>
          <w:tcPr>
            <w:tcW w:w="747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移动存储设备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4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w:t>
            </w:r>
          </w:p>
        </w:tc>
        <w:tc>
          <w:tcPr>
            <w:tcW w:w="7478" w:type="dxa"/>
            <w:vAlign w:val="center"/>
          </w:tcPr>
          <w:p>
            <w:pPr>
              <w:keepNext w:val="0"/>
              <w:keepLines w:val="0"/>
              <w:pageBreakBefore w:val="0"/>
              <w:widowControl/>
              <w:kinsoku/>
              <w:wordWrap/>
              <w:overflowPunct/>
              <w:topLinePunct w:val="0"/>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任何与竞赛内容相关的物品</w:t>
            </w:r>
          </w:p>
        </w:tc>
      </w:tr>
    </w:tbl>
    <w:p>
      <w:pPr>
        <w:pStyle w:val="2"/>
        <w:keepNext w:val="0"/>
        <w:keepLines w:val="0"/>
        <w:pageBreakBefore w:val="0"/>
        <w:kinsoku/>
        <w:wordWrap/>
        <w:overflowPunct/>
        <w:topLinePunct w:val="0"/>
        <w:autoSpaceDE w:val="0"/>
        <w:autoSpaceDN w:val="0"/>
        <w:bidi w:val="0"/>
        <w:adjustRightInd/>
        <w:snapToGrid/>
        <w:spacing w:line="560" w:lineRule="exact"/>
        <w:ind w:left="663" w:leftChars="300" w:hanging="3" w:hangingChars="1"/>
        <w:jc w:val="both"/>
        <w:textAlignment w:val="auto"/>
        <w:rPr>
          <w:rFonts w:hint="eastAsia" w:ascii="黑体" w:hAnsi="黑体" w:eastAsia="黑体" w:cs="黑体"/>
          <w:b/>
          <w:bCs/>
          <w:sz w:val="32"/>
          <w:szCs w:val="32"/>
          <w:lang w:val="en-US"/>
        </w:rPr>
      </w:pPr>
      <w:bookmarkStart w:id="18" w:name="_Toc47689177"/>
      <w:r>
        <w:rPr>
          <w:rFonts w:hint="eastAsia" w:ascii="黑体" w:hAnsi="黑体" w:eastAsia="黑体" w:cs="黑体"/>
          <w:b/>
          <w:bCs/>
          <w:sz w:val="32"/>
          <w:szCs w:val="32"/>
          <w:lang w:val="en-US"/>
        </w:rPr>
        <w:t>7.项目特别规定</w:t>
      </w:r>
      <w:bookmarkEnd w:id="18"/>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选手应遵守比赛相关规则，服从裁判长的赛事管理。此外，还应遵守以下特别规定：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裁判全程在旁观察并按照评分细则评分。文字部分在规定的场所、规定的时间完成后交给裁判评分。所有模块由裁判当天完成现场评分。如有争议由裁判长协调。</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未完成比赛的选手在指定区域候考，不可旁观比赛，不可对外交流</w:t>
      </w:r>
      <w:bookmarkStart w:id="21" w:name="_GoBack"/>
      <w:bookmarkEnd w:id="21"/>
      <w:r>
        <w:rPr>
          <w:rFonts w:hint="eastAsia" w:ascii="仿宋_GB2312" w:hAnsi="仿宋_GB2312" w:eastAsia="仿宋_GB2312" w:cs="仿宋_GB2312"/>
          <w:sz w:val="32"/>
          <w:szCs w:val="32"/>
          <w:lang w:val="en-US"/>
        </w:rPr>
        <w:t xml:space="preserve">。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参赛过程中每位参赛人员需标准化病人1名，标准化病人由主办方提供，不可自行带入考场。选手可在准备间备齐需要的物品，比赛前安排时间熟悉适应场地。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比赛全程不得向裁判提问或要求帮助；如遇设备故障，由裁判组共同商量后给予解决方案。 </w:t>
      </w:r>
    </w:p>
    <w:p>
      <w:pPr>
        <w:pStyle w:val="2"/>
        <w:keepNext w:val="0"/>
        <w:keepLines w:val="0"/>
        <w:pageBreakBefore w:val="0"/>
        <w:kinsoku/>
        <w:wordWrap/>
        <w:overflowPunct/>
        <w:topLinePunct w:val="0"/>
        <w:autoSpaceDE w:val="0"/>
        <w:autoSpaceDN w:val="0"/>
        <w:bidi w:val="0"/>
        <w:adjustRightInd/>
        <w:snapToGrid/>
        <w:spacing w:line="560" w:lineRule="exact"/>
        <w:ind w:left="663" w:leftChars="300" w:hanging="3" w:hangingChars="1"/>
        <w:jc w:val="both"/>
        <w:textAlignment w:val="auto"/>
        <w:rPr>
          <w:rFonts w:hint="eastAsia" w:ascii="黑体" w:hAnsi="黑体" w:eastAsia="黑体" w:cs="黑体"/>
          <w:b/>
          <w:bCs/>
          <w:sz w:val="32"/>
          <w:szCs w:val="32"/>
          <w:lang w:val="en-US"/>
        </w:rPr>
      </w:pPr>
      <w:bookmarkStart w:id="19" w:name="_Toc47689178"/>
      <w:r>
        <w:rPr>
          <w:rFonts w:hint="eastAsia" w:ascii="黑体" w:hAnsi="黑体" w:eastAsia="黑体" w:cs="黑体"/>
          <w:b/>
          <w:bCs/>
          <w:sz w:val="32"/>
          <w:szCs w:val="32"/>
          <w:lang w:val="en-US"/>
        </w:rPr>
        <w:t>8.赛场布局要求</w:t>
      </w:r>
      <w:bookmarkEnd w:id="19"/>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安排在山东医药技师学院相关康养集训基地，参照健康照护师相关标准需要布置，具体事宜根据赛事安排实施。</w:t>
      </w:r>
    </w:p>
    <w:p>
      <w:pPr>
        <w:pStyle w:val="2"/>
        <w:keepNext w:val="0"/>
        <w:keepLines w:val="0"/>
        <w:pageBreakBefore w:val="0"/>
        <w:kinsoku/>
        <w:wordWrap/>
        <w:overflowPunct/>
        <w:topLinePunct w:val="0"/>
        <w:autoSpaceDE w:val="0"/>
        <w:autoSpaceDN w:val="0"/>
        <w:bidi w:val="0"/>
        <w:adjustRightInd/>
        <w:snapToGrid/>
        <w:spacing w:line="560" w:lineRule="exact"/>
        <w:ind w:left="663" w:leftChars="300" w:hanging="3" w:hangingChars="1"/>
        <w:jc w:val="both"/>
        <w:textAlignment w:val="auto"/>
        <w:rPr>
          <w:rFonts w:hint="eastAsia" w:ascii="黑体" w:hAnsi="黑体" w:eastAsia="黑体" w:cs="黑体"/>
          <w:b/>
          <w:bCs/>
          <w:sz w:val="32"/>
          <w:szCs w:val="32"/>
          <w:lang w:val="en-US"/>
        </w:rPr>
      </w:pPr>
      <w:bookmarkStart w:id="20" w:name="_Toc47689179"/>
      <w:r>
        <w:rPr>
          <w:rFonts w:hint="eastAsia" w:ascii="黑体" w:hAnsi="黑体" w:eastAsia="黑体" w:cs="黑体"/>
          <w:b/>
          <w:bCs/>
          <w:sz w:val="32"/>
          <w:szCs w:val="32"/>
          <w:lang w:val="en-US"/>
        </w:rPr>
        <w:t>9.健康安全和绿色环保</w:t>
      </w:r>
      <w:bookmarkEnd w:id="20"/>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比赛承办场地应具有良好的照明和通风设备，应有安全疏散通道，配备完备的灭火等应急处理设施，张贴安全操作及健康需求方面的明确规定，以及明确的现场紧急疏散指示图。有专人负责现场紧急疏导工作。 </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所有操作用具符合安全要求，参赛者保持比赛场地卫生，无任何遗留物品影响后续选手的比赛。在比赛过程中，参赛选手应严格遵守相关专业的操作规程，符合安全文明要求。爱护赛场的设施设备和操作用具。竞赛所用材料赛后可以回收再利用，用于相关专业人员的培训和练习。 </w:t>
      </w:r>
    </w:p>
    <w:p>
      <w:pPr>
        <w:keepNext w:val="0"/>
        <w:keepLines w:val="0"/>
        <w:pageBreakBefore w:val="0"/>
        <w:widowControl/>
        <w:kinsoku/>
        <w:wordWrap/>
        <w:overflowPunct/>
        <w:topLinePunct w:val="0"/>
        <w:bidi w:val="0"/>
        <w:adjustRightInd/>
        <w:snapToGrid/>
        <w:spacing w:line="560" w:lineRule="exact"/>
        <w:ind w:firstLine="560" w:firstLineChars="200"/>
        <w:jc w:val="both"/>
        <w:textAlignment w:val="auto"/>
        <w:rPr>
          <w:rFonts w:ascii="仿宋" w:hAnsi="仿宋" w:eastAsia="仿宋" w:cs="仿宋"/>
          <w:sz w:val="28"/>
          <w:szCs w:val="28"/>
          <w:lang w:val="en-US"/>
        </w:rPr>
      </w:pPr>
    </w:p>
    <w:sectPr>
      <w:pgSz w:w="11910" w:h="16840"/>
      <w:pgMar w:top="1440" w:right="1800" w:bottom="1440" w:left="1800" w:header="0" w:footer="1121"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bel">
    <w:panose1 w:val="020B0503020204020204"/>
    <w:charset w:val="00"/>
    <w:family w:val="swiss"/>
    <w:pitch w:val="default"/>
    <w:sig w:usb0="A00002EF" w:usb1="4000A44B" w:usb2="00000000" w:usb3="00000000" w:csb0="2000019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0893562"/>
      <w:docPartObj>
        <w:docPartGallery w:val="autotext"/>
      </w:docPartObj>
    </w:sdtPr>
    <w:sdtContent>
      <w:p>
        <w:pPr>
          <w:pStyle w:val="7"/>
          <w:jc w:val="center"/>
        </w:pPr>
        <w:r>
          <w:fldChar w:fldCharType="begin"/>
        </w:r>
        <w:r>
          <w:instrText xml:space="preserve">PAGE   \* MERGEFORMAT</w:instrText>
        </w:r>
        <w:r>
          <w:fldChar w:fldCharType="separate"/>
        </w:r>
        <w:r>
          <w:t>14</w:t>
        </w:r>
        <w:r>
          <w:fldChar w:fldCharType="end"/>
        </w:r>
      </w:p>
    </w:sdtContent>
  </w:sdt>
  <w:p>
    <w:pPr>
      <w:pStyle w:val="4"/>
      <w:spacing w:line="14" w:lineRule="auto"/>
      <w:rPr>
        <w:sz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2"/>
  </w:compat>
  <w:docVars>
    <w:docVar w:name="commondata" w:val="eyJoZGlkIjoiZDZkNDYzMTUxM2Y4MmYwNDNkM2NlNDA3NTg1YmUzNjEifQ=="/>
  </w:docVars>
  <w:rsids>
    <w:rsidRoot w:val="00A71713"/>
    <w:rsid w:val="000145A3"/>
    <w:rsid w:val="000163D4"/>
    <w:rsid w:val="0004102E"/>
    <w:rsid w:val="0004312F"/>
    <w:rsid w:val="00046FE9"/>
    <w:rsid w:val="00060726"/>
    <w:rsid w:val="000623B2"/>
    <w:rsid w:val="00082AB0"/>
    <w:rsid w:val="00084BAE"/>
    <w:rsid w:val="00096CD1"/>
    <w:rsid w:val="000B6A92"/>
    <w:rsid w:val="000E46A9"/>
    <w:rsid w:val="000E5765"/>
    <w:rsid w:val="00112468"/>
    <w:rsid w:val="00112BF8"/>
    <w:rsid w:val="0011667D"/>
    <w:rsid w:val="00117D58"/>
    <w:rsid w:val="001405EB"/>
    <w:rsid w:val="0014234B"/>
    <w:rsid w:val="001507D6"/>
    <w:rsid w:val="001555DB"/>
    <w:rsid w:val="00162CFF"/>
    <w:rsid w:val="001772EB"/>
    <w:rsid w:val="001B05E3"/>
    <w:rsid w:val="001C6C12"/>
    <w:rsid w:val="001D26CE"/>
    <w:rsid w:val="001E2C11"/>
    <w:rsid w:val="001E478C"/>
    <w:rsid w:val="001F1234"/>
    <w:rsid w:val="001F7B6C"/>
    <w:rsid w:val="00200E4B"/>
    <w:rsid w:val="0021240F"/>
    <w:rsid w:val="00213556"/>
    <w:rsid w:val="00240F0C"/>
    <w:rsid w:val="00242098"/>
    <w:rsid w:val="00261FCA"/>
    <w:rsid w:val="00263A95"/>
    <w:rsid w:val="00283BB3"/>
    <w:rsid w:val="002D039E"/>
    <w:rsid w:val="002E0477"/>
    <w:rsid w:val="002E697E"/>
    <w:rsid w:val="002F1164"/>
    <w:rsid w:val="002F2A72"/>
    <w:rsid w:val="002F47EB"/>
    <w:rsid w:val="002F7053"/>
    <w:rsid w:val="003060DA"/>
    <w:rsid w:val="0031150E"/>
    <w:rsid w:val="00314AF1"/>
    <w:rsid w:val="00320A61"/>
    <w:rsid w:val="00332C6A"/>
    <w:rsid w:val="003338A7"/>
    <w:rsid w:val="003341D5"/>
    <w:rsid w:val="00356455"/>
    <w:rsid w:val="00364EA1"/>
    <w:rsid w:val="003767C7"/>
    <w:rsid w:val="003C0AD0"/>
    <w:rsid w:val="003C347F"/>
    <w:rsid w:val="003C7C69"/>
    <w:rsid w:val="003E64CD"/>
    <w:rsid w:val="003F0ED9"/>
    <w:rsid w:val="003F10E8"/>
    <w:rsid w:val="004076BF"/>
    <w:rsid w:val="00426B69"/>
    <w:rsid w:val="004344B2"/>
    <w:rsid w:val="00445B66"/>
    <w:rsid w:val="004756F9"/>
    <w:rsid w:val="0049130A"/>
    <w:rsid w:val="00491A8C"/>
    <w:rsid w:val="00492D4B"/>
    <w:rsid w:val="004A7ED0"/>
    <w:rsid w:val="004B0A60"/>
    <w:rsid w:val="004B6545"/>
    <w:rsid w:val="004C31FB"/>
    <w:rsid w:val="004E1639"/>
    <w:rsid w:val="004E581D"/>
    <w:rsid w:val="004E5D9B"/>
    <w:rsid w:val="004F0B17"/>
    <w:rsid w:val="004F7260"/>
    <w:rsid w:val="004F77EE"/>
    <w:rsid w:val="005008D9"/>
    <w:rsid w:val="005032AB"/>
    <w:rsid w:val="005107EA"/>
    <w:rsid w:val="005428B3"/>
    <w:rsid w:val="00543639"/>
    <w:rsid w:val="00556CCE"/>
    <w:rsid w:val="00560E01"/>
    <w:rsid w:val="00561D79"/>
    <w:rsid w:val="00564B89"/>
    <w:rsid w:val="005747B4"/>
    <w:rsid w:val="005B2678"/>
    <w:rsid w:val="005B4D34"/>
    <w:rsid w:val="005C00AF"/>
    <w:rsid w:val="005C597E"/>
    <w:rsid w:val="005D68EE"/>
    <w:rsid w:val="005E498D"/>
    <w:rsid w:val="005F411C"/>
    <w:rsid w:val="00600790"/>
    <w:rsid w:val="00610422"/>
    <w:rsid w:val="00610724"/>
    <w:rsid w:val="006229D3"/>
    <w:rsid w:val="00661798"/>
    <w:rsid w:val="00665AAF"/>
    <w:rsid w:val="00675683"/>
    <w:rsid w:val="0069109B"/>
    <w:rsid w:val="00693DB5"/>
    <w:rsid w:val="006A15E8"/>
    <w:rsid w:val="006A3F36"/>
    <w:rsid w:val="006C4C6C"/>
    <w:rsid w:val="006E41DC"/>
    <w:rsid w:val="006E6B59"/>
    <w:rsid w:val="00700F8D"/>
    <w:rsid w:val="007068D8"/>
    <w:rsid w:val="00720A58"/>
    <w:rsid w:val="00724255"/>
    <w:rsid w:val="00754742"/>
    <w:rsid w:val="007573C9"/>
    <w:rsid w:val="00757C39"/>
    <w:rsid w:val="007643A3"/>
    <w:rsid w:val="0076542E"/>
    <w:rsid w:val="00766D9A"/>
    <w:rsid w:val="00767471"/>
    <w:rsid w:val="00781ACE"/>
    <w:rsid w:val="007975F5"/>
    <w:rsid w:val="007C368A"/>
    <w:rsid w:val="007E04E3"/>
    <w:rsid w:val="007F43F4"/>
    <w:rsid w:val="008009C0"/>
    <w:rsid w:val="008272AF"/>
    <w:rsid w:val="00835D2A"/>
    <w:rsid w:val="008377CA"/>
    <w:rsid w:val="00840866"/>
    <w:rsid w:val="00852771"/>
    <w:rsid w:val="00854A42"/>
    <w:rsid w:val="00860D0F"/>
    <w:rsid w:val="00872AFC"/>
    <w:rsid w:val="00873DE7"/>
    <w:rsid w:val="0088391C"/>
    <w:rsid w:val="008A214B"/>
    <w:rsid w:val="008A3C4D"/>
    <w:rsid w:val="008A73BC"/>
    <w:rsid w:val="008B1288"/>
    <w:rsid w:val="008B4E4C"/>
    <w:rsid w:val="008C054C"/>
    <w:rsid w:val="008C7FCD"/>
    <w:rsid w:val="008D7D2E"/>
    <w:rsid w:val="008F43C9"/>
    <w:rsid w:val="008F5108"/>
    <w:rsid w:val="0090341F"/>
    <w:rsid w:val="00904059"/>
    <w:rsid w:val="00906FFD"/>
    <w:rsid w:val="00927C7D"/>
    <w:rsid w:val="0093358F"/>
    <w:rsid w:val="00935522"/>
    <w:rsid w:val="00942B88"/>
    <w:rsid w:val="00944FAB"/>
    <w:rsid w:val="00962302"/>
    <w:rsid w:val="009924F1"/>
    <w:rsid w:val="009B225E"/>
    <w:rsid w:val="009B2DEC"/>
    <w:rsid w:val="009B3FB6"/>
    <w:rsid w:val="009B7580"/>
    <w:rsid w:val="009C1B16"/>
    <w:rsid w:val="009C2BCF"/>
    <w:rsid w:val="009E6807"/>
    <w:rsid w:val="009F0733"/>
    <w:rsid w:val="00A02DD4"/>
    <w:rsid w:val="00A108E7"/>
    <w:rsid w:val="00A1209C"/>
    <w:rsid w:val="00A36B40"/>
    <w:rsid w:val="00A434C4"/>
    <w:rsid w:val="00A4376B"/>
    <w:rsid w:val="00A52C6C"/>
    <w:rsid w:val="00A54D4E"/>
    <w:rsid w:val="00A55F09"/>
    <w:rsid w:val="00A57F3A"/>
    <w:rsid w:val="00A63356"/>
    <w:rsid w:val="00A71713"/>
    <w:rsid w:val="00A96260"/>
    <w:rsid w:val="00AA0926"/>
    <w:rsid w:val="00AA0D75"/>
    <w:rsid w:val="00AB2B3D"/>
    <w:rsid w:val="00AD637B"/>
    <w:rsid w:val="00AE0663"/>
    <w:rsid w:val="00AE0E10"/>
    <w:rsid w:val="00AF0FFD"/>
    <w:rsid w:val="00B10B78"/>
    <w:rsid w:val="00B1143E"/>
    <w:rsid w:val="00B253EB"/>
    <w:rsid w:val="00B33678"/>
    <w:rsid w:val="00B43895"/>
    <w:rsid w:val="00B505C0"/>
    <w:rsid w:val="00B7145A"/>
    <w:rsid w:val="00B76CE1"/>
    <w:rsid w:val="00B77C87"/>
    <w:rsid w:val="00B92A6F"/>
    <w:rsid w:val="00BA3BD7"/>
    <w:rsid w:val="00BA710D"/>
    <w:rsid w:val="00BB485E"/>
    <w:rsid w:val="00BB73B8"/>
    <w:rsid w:val="00BB7682"/>
    <w:rsid w:val="00BC0538"/>
    <w:rsid w:val="00BC573E"/>
    <w:rsid w:val="00BD5FED"/>
    <w:rsid w:val="00BE5A56"/>
    <w:rsid w:val="00BE75AF"/>
    <w:rsid w:val="00C54172"/>
    <w:rsid w:val="00C71479"/>
    <w:rsid w:val="00C80BDC"/>
    <w:rsid w:val="00C85B69"/>
    <w:rsid w:val="00CA33B6"/>
    <w:rsid w:val="00CA7F5B"/>
    <w:rsid w:val="00CB4238"/>
    <w:rsid w:val="00CD0019"/>
    <w:rsid w:val="00CE06DA"/>
    <w:rsid w:val="00CF3670"/>
    <w:rsid w:val="00D05EF7"/>
    <w:rsid w:val="00D14AFA"/>
    <w:rsid w:val="00D16B67"/>
    <w:rsid w:val="00D226A8"/>
    <w:rsid w:val="00D34A9A"/>
    <w:rsid w:val="00D44C2D"/>
    <w:rsid w:val="00D519CC"/>
    <w:rsid w:val="00D71644"/>
    <w:rsid w:val="00D74302"/>
    <w:rsid w:val="00D927FE"/>
    <w:rsid w:val="00DB05DF"/>
    <w:rsid w:val="00DB32BC"/>
    <w:rsid w:val="00DB3A62"/>
    <w:rsid w:val="00DB4AE5"/>
    <w:rsid w:val="00DC583B"/>
    <w:rsid w:val="00DC594B"/>
    <w:rsid w:val="00DD3F0A"/>
    <w:rsid w:val="00DD4D4A"/>
    <w:rsid w:val="00DF1E53"/>
    <w:rsid w:val="00DF2F2D"/>
    <w:rsid w:val="00DF5CF7"/>
    <w:rsid w:val="00DF673B"/>
    <w:rsid w:val="00E04C62"/>
    <w:rsid w:val="00E06C9F"/>
    <w:rsid w:val="00E1594B"/>
    <w:rsid w:val="00E202D7"/>
    <w:rsid w:val="00E3085A"/>
    <w:rsid w:val="00E544DA"/>
    <w:rsid w:val="00E5631C"/>
    <w:rsid w:val="00E566AF"/>
    <w:rsid w:val="00E5757B"/>
    <w:rsid w:val="00E769A5"/>
    <w:rsid w:val="00E817E1"/>
    <w:rsid w:val="00E95300"/>
    <w:rsid w:val="00EA39E0"/>
    <w:rsid w:val="00EA5808"/>
    <w:rsid w:val="00EA6209"/>
    <w:rsid w:val="00EE05AB"/>
    <w:rsid w:val="00EE47B8"/>
    <w:rsid w:val="00EF10D4"/>
    <w:rsid w:val="00EF6464"/>
    <w:rsid w:val="00F039AF"/>
    <w:rsid w:val="00F3211B"/>
    <w:rsid w:val="00F3703D"/>
    <w:rsid w:val="00F73CEB"/>
    <w:rsid w:val="00FA2668"/>
    <w:rsid w:val="00FA5752"/>
    <w:rsid w:val="00FC6F7C"/>
    <w:rsid w:val="05077E3F"/>
    <w:rsid w:val="0B171F9F"/>
    <w:rsid w:val="0EF42B8C"/>
    <w:rsid w:val="111F6419"/>
    <w:rsid w:val="14B25A70"/>
    <w:rsid w:val="15512BC1"/>
    <w:rsid w:val="163D4B49"/>
    <w:rsid w:val="189504C5"/>
    <w:rsid w:val="242E5D9C"/>
    <w:rsid w:val="284D43B3"/>
    <w:rsid w:val="2AF66D06"/>
    <w:rsid w:val="2C047EA4"/>
    <w:rsid w:val="2D7472DF"/>
    <w:rsid w:val="34535814"/>
    <w:rsid w:val="36B17186"/>
    <w:rsid w:val="47C631C4"/>
    <w:rsid w:val="515549C1"/>
    <w:rsid w:val="51F81807"/>
    <w:rsid w:val="537541F1"/>
    <w:rsid w:val="5D307D87"/>
    <w:rsid w:val="60455DBA"/>
    <w:rsid w:val="64BF65D6"/>
    <w:rsid w:val="704876DE"/>
    <w:rsid w:val="75DB3709"/>
    <w:rsid w:val="7F9170D1"/>
    <w:rsid w:val="7FB304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Corbel" w:hAnsi="Corbel" w:eastAsia="Corbel" w:cs="Corbel"/>
      <w:sz w:val="22"/>
      <w:szCs w:val="22"/>
      <w:lang w:val="zh-CN" w:eastAsia="zh-CN" w:bidi="zh-CN"/>
    </w:rPr>
  </w:style>
  <w:style w:type="paragraph" w:styleId="2">
    <w:name w:val="heading 1"/>
    <w:basedOn w:val="1"/>
    <w:next w:val="1"/>
    <w:qFormat/>
    <w:uiPriority w:val="1"/>
    <w:pPr>
      <w:ind w:left="452" w:hanging="445"/>
      <w:outlineLvl w:val="0"/>
    </w:pPr>
    <w:rPr>
      <w:rFonts w:ascii="Microsoft JhengHei" w:hAnsi="Microsoft JhengHei" w:eastAsia="Microsoft JhengHei" w:cs="Microsoft JhengHei"/>
      <w:b/>
      <w:bCs/>
      <w:sz w:val="44"/>
      <w:szCs w:val="44"/>
    </w:rPr>
  </w:style>
  <w:style w:type="paragraph" w:styleId="3">
    <w:name w:val="heading 2"/>
    <w:basedOn w:val="1"/>
    <w:next w:val="1"/>
    <w:qFormat/>
    <w:uiPriority w:val="1"/>
    <w:pPr>
      <w:ind w:left="653" w:hanging="646"/>
      <w:outlineLvl w:val="1"/>
    </w:pPr>
    <w:rPr>
      <w:rFonts w:ascii="Microsoft JhengHei" w:hAnsi="Microsoft JhengHei" w:eastAsia="Microsoft JhengHei" w:cs="Microsoft JhengHe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rPr>
  </w:style>
  <w:style w:type="paragraph" w:styleId="5">
    <w:name w:val="toc 3"/>
    <w:basedOn w:val="1"/>
    <w:next w:val="1"/>
    <w:unhideWhenUsed/>
    <w:qFormat/>
    <w:uiPriority w:val="39"/>
    <w:pPr>
      <w:widowControl/>
      <w:autoSpaceDE/>
      <w:autoSpaceDN/>
      <w:spacing w:after="100" w:line="276" w:lineRule="auto"/>
      <w:ind w:left="440"/>
    </w:pPr>
    <w:rPr>
      <w:rFonts w:asciiTheme="minorHAnsi" w:hAnsiTheme="minorHAnsi" w:eastAsiaTheme="minorEastAsia" w:cstheme="minorBidi"/>
      <w:lang w:val="en-US" w:bidi="ar-SA"/>
    </w:rPr>
  </w:style>
  <w:style w:type="paragraph" w:styleId="6">
    <w:name w:val="Balloon Text"/>
    <w:basedOn w:val="1"/>
    <w:link w:val="20"/>
    <w:qFormat/>
    <w:uiPriority w:val="0"/>
    <w:rPr>
      <w:sz w:val="18"/>
      <w:szCs w:val="18"/>
    </w:rPr>
  </w:style>
  <w:style w:type="paragraph" w:styleId="7">
    <w:name w:val="footer"/>
    <w:basedOn w:val="1"/>
    <w:link w:val="19"/>
    <w:qFormat/>
    <w:uiPriority w:val="99"/>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136"/>
      <w:ind w:left="1258" w:right="873" w:hanging="1258"/>
      <w:jc w:val="right"/>
    </w:pPr>
    <w:rPr>
      <w:rFonts w:ascii="Times New Roman" w:hAnsi="Times New Roman" w:eastAsia="Times New Roman" w:cs="Times New Roman"/>
      <w:b/>
      <w:bCs/>
      <w:sz w:val="21"/>
      <w:szCs w:val="21"/>
    </w:rPr>
  </w:style>
  <w:style w:type="paragraph" w:styleId="10">
    <w:name w:val="toc 2"/>
    <w:basedOn w:val="1"/>
    <w:next w:val="1"/>
    <w:qFormat/>
    <w:uiPriority w:val="39"/>
    <w:pPr>
      <w:spacing w:before="137"/>
      <w:ind w:left="279" w:right="876" w:hanging="280"/>
      <w:jc w:val="right"/>
    </w:pPr>
    <w:rPr>
      <w:rFonts w:ascii="宋体" w:hAnsi="宋体" w:eastAsia="宋体" w:cs="宋体"/>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37"/>
      <w:ind w:left="1258" w:right="876" w:hanging="1258"/>
      <w:jc w:val="right"/>
    </w:pPr>
    <w:rPr>
      <w:rFonts w:ascii="宋体" w:hAnsi="宋体" w:eastAsia="宋体" w:cs="宋体"/>
    </w:rPr>
  </w:style>
  <w:style w:type="paragraph" w:customStyle="1" w:styleId="17">
    <w:name w:val="Table Paragraph"/>
    <w:basedOn w:val="1"/>
    <w:qFormat/>
    <w:uiPriority w:val="1"/>
    <w:pPr>
      <w:ind w:left="138"/>
    </w:pPr>
  </w:style>
  <w:style w:type="character" w:customStyle="1" w:styleId="18">
    <w:name w:val="页眉 Char"/>
    <w:basedOn w:val="13"/>
    <w:link w:val="8"/>
    <w:qFormat/>
    <w:uiPriority w:val="0"/>
    <w:rPr>
      <w:rFonts w:ascii="Corbel" w:hAnsi="Corbel" w:eastAsia="Corbel" w:cs="Corbel"/>
      <w:sz w:val="18"/>
      <w:szCs w:val="18"/>
      <w:lang w:val="zh-CN" w:bidi="zh-CN"/>
    </w:rPr>
  </w:style>
  <w:style w:type="character" w:customStyle="1" w:styleId="19">
    <w:name w:val="页脚 Char"/>
    <w:basedOn w:val="13"/>
    <w:link w:val="7"/>
    <w:qFormat/>
    <w:uiPriority w:val="99"/>
    <w:rPr>
      <w:rFonts w:ascii="Corbel" w:hAnsi="Corbel" w:eastAsia="Corbel" w:cs="Corbel"/>
      <w:sz w:val="18"/>
      <w:szCs w:val="18"/>
      <w:lang w:val="zh-CN" w:bidi="zh-CN"/>
    </w:rPr>
  </w:style>
  <w:style w:type="character" w:customStyle="1" w:styleId="20">
    <w:name w:val="批注框文本 Char"/>
    <w:basedOn w:val="13"/>
    <w:link w:val="6"/>
    <w:qFormat/>
    <w:uiPriority w:val="0"/>
    <w:rPr>
      <w:rFonts w:ascii="Corbel" w:hAnsi="Corbel" w:eastAsia="Corbel" w:cs="Corbel"/>
      <w:sz w:val="18"/>
      <w:szCs w:val="18"/>
      <w:lang w:val="zh-CN" w:bidi="zh-CN"/>
    </w:rPr>
  </w:style>
  <w:style w:type="paragraph" w:customStyle="1" w:styleId="21">
    <w:name w:val="TOC 标题1"/>
    <w:basedOn w:val="2"/>
    <w:next w:val="1"/>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66091" w:themeColor="accent1" w:themeShade="BF"/>
      <w:sz w:val="28"/>
      <w:szCs w:val="28"/>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AF2D-AE0E-4A23-B4C7-3EACE67621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6277</Words>
  <Characters>6440</Characters>
  <Lines>51</Lines>
  <Paragraphs>14</Paragraphs>
  <TotalTime>6</TotalTime>
  <ScaleCrop>false</ScaleCrop>
  <LinksUpToDate>false</LinksUpToDate>
  <CharactersWithSpaces>6531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2021-09-16T06:17:00Z</dcterms:created>
  <dc:creator>微软中国</dc:creator>
  <cp:lastModifiedBy>李梅</cp:lastModifiedBy>
  <dcterms:modified xsi:type="dcterms:W3CDTF">2022-09-28T03:53:25Z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2013</vt:lpwstr>
  </property>
  <property fmtid="{D5CDD505-2E9C-101B-9397-08002B2CF9AE}" pid="4" name="LastSaved">
    <vt:filetime>2019-10-21T00:00:00Z</vt:filetime>
  </property>
  <property fmtid="{D5CDD505-2E9C-101B-9397-08002B2CF9AE}" pid="5" name="KSOProductBuildVer">
    <vt:lpwstr>2052-11.1.0.12358</vt:lpwstr>
  </property>
  <property fmtid="{D5CDD505-2E9C-101B-9397-08002B2CF9AE}" pid="6" name="ICV">
    <vt:lpwstr>0FAB470B55D24E9EA5C0A733F49A2090</vt:lpwstr>
  </property>
</Properties>
</file>